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758" w:type="dxa"/>
        <w:jc w:val="center"/>
        <w:tblLayout w:type="fixed"/>
        <w:tblLook w:val="04A0" w:firstRow="1" w:lastRow="0" w:firstColumn="1" w:lastColumn="0" w:noHBand="0" w:noVBand="1"/>
      </w:tblPr>
      <w:tblGrid>
        <w:gridCol w:w="555"/>
        <w:gridCol w:w="1567"/>
        <w:gridCol w:w="1275"/>
        <w:gridCol w:w="5529"/>
        <w:gridCol w:w="5812"/>
        <w:gridCol w:w="20"/>
      </w:tblGrid>
      <w:tr w:rsidR="00F562C8" w:rsidRPr="00AC5114" w14:paraId="60F9964D" w14:textId="77777777" w:rsidTr="00DA68AF">
        <w:trPr>
          <w:trHeight w:val="592"/>
          <w:jc w:val="center"/>
        </w:trPr>
        <w:tc>
          <w:tcPr>
            <w:tcW w:w="14758" w:type="dxa"/>
            <w:gridSpan w:val="6"/>
            <w:shd w:val="clear" w:color="auto" w:fill="1F497D" w:themeFill="text2"/>
            <w:vAlign w:val="center"/>
          </w:tcPr>
          <w:p w14:paraId="1081DCA0" w14:textId="37AC626E" w:rsidR="00F562C8" w:rsidRPr="00AC5114" w:rsidRDefault="00B42C3F" w:rsidP="004A28E0">
            <w:pPr>
              <w:jc w:val="center"/>
              <w:rPr>
                <w:rFonts w:ascii="Arial" w:hAnsi="Arial" w:cs="Arial"/>
                <w:b/>
                <w:color w:val="FFFFFF" w:themeColor="background1"/>
                <w:sz w:val="20"/>
                <w:szCs w:val="20"/>
                <w:lang w:eastAsia="pl-PL"/>
              </w:rPr>
            </w:pPr>
            <w:r>
              <w:rPr>
                <w:rFonts w:ascii="Arial" w:hAnsi="Arial" w:cs="Arial"/>
                <w:b/>
                <w:color w:val="FFFFFF" w:themeColor="background1"/>
                <w:sz w:val="20"/>
                <w:szCs w:val="20"/>
                <w:lang w:eastAsia="pl-PL"/>
              </w:rPr>
              <w:t>Protokół rozbieżności</w:t>
            </w:r>
            <w:r w:rsidR="00F562C8" w:rsidRPr="00AC5114">
              <w:rPr>
                <w:rFonts w:ascii="Arial" w:hAnsi="Arial" w:cs="Arial"/>
                <w:b/>
                <w:color w:val="FFFFFF" w:themeColor="background1"/>
                <w:sz w:val="20"/>
                <w:szCs w:val="20"/>
                <w:lang w:eastAsia="pl-PL"/>
              </w:rPr>
              <w:t xml:space="preserve"> do projektu ustawy o zmianie ustawy o</w:t>
            </w:r>
            <w:r w:rsidR="007C1BBE">
              <w:rPr>
                <w:rFonts w:ascii="Arial" w:hAnsi="Arial" w:cs="Arial"/>
                <w:b/>
                <w:color w:val="FFFFFF" w:themeColor="background1"/>
                <w:sz w:val="20"/>
                <w:szCs w:val="20"/>
                <w:lang w:eastAsia="pl-PL"/>
              </w:rPr>
              <w:t xml:space="preserve"> systemie ubezpieczeń społecznych</w:t>
            </w:r>
            <w:r w:rsidR="00886DC0">
              <w:rPr>
                <w:rFonts w:ascii="Arial" w:hAnsi="Arial" w:cs="Arial"/>
                <w:b/>
                <w:color w:val="FFFFFF" w:themeColor="background1"/>
                <w:sz w:val="20"/>
                <w:szCs w:val="20"/>
                <w:lang w:eastAsia="pl-PL"/>
              </w:rPr>
              <w:t xml:space="preserve"> oraz niektórych innych ustaw</w:t>
            </w:r>
            <w:r w:rsidR="00F562C8" w:rsidRPr="00AC5114">
              <w:rPr>
                <w:rFonts w:ascii="Arial" w:hAnsi="Arial" w:cs="Arial"/>
                <w:b/>
                <w:color w:val="FFFFFF" w:themeColor="background1"/>
                <w:sz w:val="20"/>
                <w:szCs w:val="20"/>
                <w:lang w:eastAsia="pl-PL"/>
              </w:rPr>
              <w:t xml:space="preserve"> U</w:t>
            </w:r>
            <w:r w:rsidR="007C1BBE">
              <w:rPr>
                <w:rFonts w:ascii="Arial" w:hAnsi="Arial" w:cs="Arial"/>
                <w:b/>
                <w:color w:val="FFFFFF" w:themeColor="background1"/>
                <w:sz w:val="20"/>
                <w:szCs w:val="20"/>
                <w:lang w:eastAsia="pl-PL"/>
              </w:rPr>
              <w:t>D114</w:t>
            </w:r>
          </w:p>
        </w:tc>
      </w:tr>
      <w:tr w:rsidR="00F562C8" w:rsidRPr="00F0712F" w14:paraId="647D2DC2" w14:textId="77777777" w:rsidTr="00A30AE1">
        <w:trPr>
          <w:gridAfter w:val="1"/>
          <w:wAfter w:w="20" w:type="dxa"/>
          <w:trHeight w:val="592"/>
          <w:jc w:val="center"/>
        </w:trPr>
        <w:tc>
          <w:tcPr>
            <w:tcW w:w="555" w:type="dxa"/>
            <w:shd w:val="clear" w:color="auto" w:fill="1F497D" w:themeFill="text2"/>
            <w:vAlign w:val="center"/>
          </w:tcPr>
          <w:p w14:paraId="6208004E" w14:textId="77777777" w:rsidR="00F562C8" w:rsidRPr="00F0712F" w:rsidRDefault="00F562C8" w:rsidP="004A28E0">
            <w:pPr>
              <w:jc w:val="center"/>
              <w:rPr>
                <w:rFonts w:ascii="Arial" w:hAnsi="Arial" w:cs="Arial"/>
                <w:color w:val="FFFFFF" w:themeColor="background1"/>
                <w:sz w:val="18"/>
                <w:szCs w:val="18"/>
              </w:rPr>
            </w:pPr>
            <w:r w:rsidRPr="00F0712F">
              <w:rPr>
                <w:rFonts w:ascii="Arial" w:hAnsi="Arial" w:cs="Arial"/>
                <w:b/>
                <w:color w:val="FFFFFF" w:themeColor="background1"/>
                <w:sz w:val="18"/>
                <w:szCs w:val="18"/>
              </w:rPr>
              <w:t>Lp</w:t>
            </w:r>
            <w:r w:rsidRPr="00F0712F">
              <w:rPr>
                <w:rFonts w:ascii="Arial" w:hAnsi="Arial" w:cs="Arial"/>
                <w:color w:val="FFFFFF" w:themeColor="background1"/>
                <w:sz w:val="18"/>
                <w:szCs w:val="18"/>
              </w:rPr>
              <w:t>.</w:t>
            </w:r>
          </w:p>
        </w:tc>
        <w:tc>
          <w:tcPr>
            <w:tcW w:w="1567" w:type="dxa"/>
            <w:shd w:val="clear" w:color="auto" w:fill="1F497D" w:themeFill="text2"/>
            <w:vAlign w:val="center"/>
          </w:tcPr>
          <w:p w14:paraId="6800A599" w14:textId="77777777" w:rsidR="00F562C8" w:rsidRPr="00F0712F" w:rsidRDefault="00F562C8" w:rsidP="00141978">
            <w:pPr>
              <w:spacing w:after="60"/>
              <w:jc w:val="center"/>
              <w:rPr>
                <w:rFonts w:ascii="Arial" w:hAnsi="Arial" w:cs="Arial"/>
                <w:b/>
                <w:bCs/>
                <w:color w:val="FFFFFF" w:themeColor="background1"/>
                <w:sz w:val="18"/>
                <w:szCs w:val="18"/>
              </w:rPr>
            </w:pPr>
            <w:r w:rsidRPr="00F0712F">
              <w:rPr>
                <w:rFonts w:ascii="Arial" w:hAnsi="Arial" w:cs="Arial"/>
                <w:b/>
                <w:bCs/>
                <w:color w:val="FFFFFF" w:themeColor="background1"/>
                <w:sz w:val="18"/>
                <w:szCs w:val="18"/>
              </w:rPr>
              <w:t>Jednostka redakcyjna, której uwaga dotyczy</w:t>
            </w:r>
            <w:r w:rsidR="00F0712F">
              <w:rPr>
                <w:rFonts w:ascii="Arial" w:hAnsi="Arial" w:cs="Arial"/>
                <w:b/>
                <w:bCs/>
                <w:color w:val="FFFFFF" w:themeColor="background1"/>
                <w:sz w:val="18"/>
                <w:szCs w:val="18"/>
              </w:rPr>
              <w:t xml:space="preserve"> </w:t>
            </w:r>
            <w:r w:rsidRPr="00F0712F">
              <w:rPr>
                <w:rFonts w:ascii="Arial" w:hAnsi="Arial" w:cs="Arial"/>
                <w:b/>
                <w:bCs/>
                <w:color w:val="FFFFFF" w:themeColor="background1"/>
                <w:sz w:val="18"/>
                <w:szCs w:val="18"/>
              </w:rPr>
              <w:t xml:space="preserve">/ </w:t>
            </w:r>
          </w:p>
          <w:p w14:paraId="7BDDC2AF" w14:textId="77777777" w:rsidR="00F562C8" w:rsidRPr="00F0712F" w:rsidRDefault="00F562C8" w:rsidP="00141978">
            <w:pPr>
              <w:spacing w:after="60"/>
              <w:jc w:val="center"/>
              <w:rPr>
                <w:rFonts w:ascii="Arial" w:hAnsi="Arial" w:cs="Arial"/>
                <w:b/>
                <w:bCs/>
                <w:color w:val="FFFFFF" w:themeColor="background1"/>
                <w:sz w:val="18"/>
                <w:szCs w:val="18"/>
              </w:rPr>
            </w:pPr>
            <w:r w:rsidRPr="00F0712F">
              <w:rPr>
                <w:rFonts w:ascii="Arial" w:hAnsi="Arial" w:cs="Arial"/>
                <w:b/>
                <w:bCs/>
                <w:color w:val="FFFFFF" w:themeColor="background1"/>
                <w:sz w:val="18"/>
                <w:szCs w:val="18"/>
              </w:rPr>
              <w:t>pkt Uzasadnienia</w:t>
            </w:r>
            <w:r w:rsidR="00F0712F">
              <w:rPr>
                <w:rFonts w:ascii="Arial" w:hAnsi="Arial" w:cs="Arial"/>
                <w:b/>
                <w:bCs/>
                <w:color w:val="FFFFFF" w:themeColor="background1"/>
                <w:sz w:val="18"/>
                <w:szCs w:val="18"/>
              </w:rPr>
              <w:t xml:space="preserve"> </w:t>
            </w:r>
            <w:r w:rsidRPr="00F0712F">
              <w:rPr>
                <w:rFonts w:ascii="Arial" w:hAnsi="Arial" w:cs="Arial"/>
                <w:b/>
                <w:bCs/>
                <w:color w:val="FFFFFF" w:themeColor="background1"/>
                <w:sz w:val="18"/>
                <w:szCs w:val="18"/>
              </w:rPr>
              <w:t>/</w:t>
            </w:r>
          </w:p>
          <w:p w14:paraId="0582A731" w14:textId="77777777" w:rsidR="00F562C8" w:rsidRPr="00F0712F" w:rsidRDefault="00F562C8" w:rsidP="00141978">
            <w:pPr>
              <w:spacing w:after="60"/>
              <w:jc w:val="center"/>
              <w:rPr>
                <w:rFonts w:ascii="Arial" w:hAnsi="Arial" w:cs="Arial"/>
                <w:b/>
                <w:bCs/>
                <w:color w:val="FFFFFF" w:themeColor="background1"/>
                <w:sz w:val="18"/>
                <w:szCs w:val="18"/>
              </w:rPr>
            </w:pPr>
            <w:r w:rsidRPr="00F0712F">
              <w:rPr>
                <w:rFonts w:ascii="Arial" w:hAnsi="Arial" w:cs="Arial"/>
                <w:b/>
                <w:bCs/>
                <w:color w:val="FFFFFF" w:themeColor="background1"/>
                <w:sz w:val="18"/>
                <w:szCs w:val="18"/>
              </w:rPr>
              <w:t>pkt OSR</w:t>
            </w:r>
          </w:p>
        </w:tc>
        <w:tc>
          <w:tcPr>
            <w:tcW w:w="1275" w:type="dxa"/>
            <w:shd w:val="clear" w:color="auto" w:fill="1F497D" w:themeFill="text2"/>
            <w:vAlign w:val="center"/>
          </w:tcPr>
          <w:p w14:paraId="0054C0C5" w14:textId="77777777" w:rsidR="00F562C8" w:rsidRPr="00F0712F" w:rsidRDefault="00F562C8" w:rsidP="004A28E0">
            <w:pPr>
              <w:jc w:val="center"/>
              <w:rPr>
                <w:rFonts w:ascii="Arial" w:hAnsi="Arial" w:cs="Arial"/>
                <w:color w:val="FFFFFF" w:themeColor="background1"/>
                <w:sz w:val="18"/>
                <w:szCs w:val="18"/>
              </w:rPr>
            </w:pPr>
            <w:r w:rsidRPr="00F0712F">
              <w:rPr>
                <w:rFonts w:ascii="Arial" w:hAnsi="Arial" w:cs="Arial"/>
                <w:b/>
                <w:bCs/>
                <w:color w:val="FFFFFF" w:themeColor="background1"/>
                <w:sz w:val="18"/>
                <w:szCs w:val="18"/>
              </w:rPr>
              <w:t>Podmiot zgłaszający</w:t>
            </w:r>
          </w:p>
        </w:tc>
        <w:tc>
          <w:tcPr>
            <w:tcW w:w="5529" w:type="dxa"/>
            <w:shd w:val="clear" w:color="auto" w:fill="1F497D" w:themeFill="text2"/>
            <w:vAlign w:val="center"/>
          </w:tcPr>
          <w:p w14:paraId="4E74015C" w14:textId="77777777" w:rsidR="00F562C8" w:rsidRPr="00F0712F" w:rsidRDefault="00F562C8" w:rsidP="004A28E0">
            <w:pPr>
              <w:jc w:val="center"/>
              <w:rPr>
                <w:rFonts w:ascii="Arial" w:hAnsi="Arial" w:cs="Arial"/>
                <w:color w:val="FFFFFF" w:themeColor="background1"/>
                <w:sz w:val="18"/>
                <w:szCs w:val="18"/>
              </w:rPr>
            </w:pPr>
            <w:r w:rsidRPr="00F0712F">
              <w:rPr>
                <w:rFonts w:ascii="Arial" w:hAnsi="Arial" w:cs="Arial"/>
                <w:b/>
                <w:bCs/>
                <w:color w:val="FFFFFF" w:themeColor="background1"/>
                <w:sz w:val="18"/>
                <w:szCs w:val="18"/>
              </w:rPr>
              <w:t>Uwaga/Propozycja zmian zapisu</w:t>
            </w:r>
          </w:p>
        </w:tc>
        <w:tc>
          <w:tcPr>
            <w:tcW w:w="5812" w:type="dxa"/>
            <w:shd w:val="clear" w:color="auto" w:fill="1F497D" w:themeFill="text2"/>
            <w:vAlign w:val="center"/>
          </w:tcPr>
          <w:p w14:paraId="5364FE50" w14:textId="77777777" w:rsidR="00F562C8" w:rsidRPr="00F0712F" w:rsidRDefault="00F562C8" w:rsidP="00F562C8">
            <w:pPr>
              <w:jc w:val="center"/>
              <w:rPr>
                <w:rFonts w:ascii="Arial" w:hAnsi="Arial" w:cs="Arial"/>
                <w:b/>
                <w:bCs/>
                <w:color w:val="FFFFFF" w:themeColor="background1"/>
                <w:sz w:val="18"/>
                <w:szCs w:val="18"/>
              </w:rPr>
            </w:pPr>
            <w:r w:rsidRPr="00F0712F">
              <w:rPr>
                <w:rFonts w:ascii="Arial" w:hAnsi="Arial" w:cs="Arial"/>
                <w:b/>
                <w:bCs/>
                <w:color w:val="FFFFFF" w:themeColor="background1"/>
                <w:sz w:val="18"/>
                <w:szCs w:val="18"/>
              </w:rPr>
              <w:t xml:space="preserve">Stanowisko </w:t>
            </w:r>
            <w:proofErr w:type="spellStart"/>
            <w:r w:rsidR="00886DC0">
              <w:rPr>
                <w:rFonts w:ascii="Arial" w:hAnsi="Arial" w:cs="Arial"/>
                <w:b/>
                <w:bCs/>
                <w:color w:val="FFFFFF" w:themeColor="background1"/>
                <w:sz w:val="18"/>
                <w:szCs w:val="18"/>
              </w:rPr>
              <w:t>MRPiPS</w:t>
            </w:r>
            <w:proofErr w:type="spellEnd"/>
          </w:p>
        </w:tc>
      </w:tr>
      <w:tr w:rsidR="007A61C7" w:rsidRPr="00AC5114" w14:paraId="19A2DAA6" w14:textId="77777777" w:rsidTr="00DA68AF">
        <w:trPr>
          <w:jc w:val="center"/>
        </w:trPr>
        <w:tc>
          <w:tcPr>
            <w:tcW w:w="14758" w:type="dxa"/>
            <w:gridSpan w:val="6"/>
            <w:vAlign w:val="center"/>
          </w:tcPr>
          <w:p w14:paraId="31515E7E" w14:textId="6B9BEA86" w:rsidR="007A61C7" w:rsidRPr="00461794" w:rsidRDefault="007A61C7" w:rsidP="007A61C7">
            <w:pPr>
              <w:jc w:val="center"/>
              <w:rPr>
                <w:rFonts w:ascii="Times New Roman" w:hAnsi="Times New Roman" w:cs="Times New Roman"/>
                <w:sz w:val="20"/>
                <w:szCs w:val="20"/>
              </w:rPr>
            </w:pPr>
            <w:r w:rsidRPr="00461794">
              <w:rPr>
                <w:rFonts w:ascii="Times New Roman" w:hAnsi="Times New Roman" w:cs="Times New Roman"/>
                <w:sz w:val="20"/>
                <w:szCs w:val="20"/>
              </w:rPr>
              <w:t>Uwagi do projektu ustawy</w:t>
            </w:r>
            <w:r w:rsidR="00456A6B">
              <w:rPr>
                <w:rFonts w:ascii="Times New Roman" w:hAnsi="Times New Roman" w:cs="Times New Roman"/>
                <w:sz w:val="20"/>
                <w:szCs w:val="20"/>
              </w:rPr>
              <w:t xml:space="preserve"> i OSR</w:t>
            </w:r>
          </w:p>
        </w:tc>
      </w:tr>
      <w:tr w:rsidR="003F5170" w:rsidRPr="007A61C7" w14:paraId="290BF3D0" w14:textId="77777777" w:rsidTr="005C44A9">
        <w:trPr>
          <w:gridAfter w:val="1"/>
          <w:wAfter w:w="20" w:type="dxa"/>
          <w:jc w:val="center"/>
        </w:trPr>
        <w:tc>
          <w:tcPr>
            <w:tcW w:w="555" w:type="dxa"/>
            <w:vAlign w:val="center"/>
          </w:tcPr>
          <w:p w14:paraId="7F89239C" w14:textId="77777777" w:rsidR="003F5170" w:rsidRPr="0000747A" w:rsidRDefault="003F5170" w:rsidP="003F5170">
            <w:pPr>
              <w:pStyle w:val="Akapitzlist"/>
              <w:numPr>
                <w:ilvl w:val="0"/>
                <w:numId w:val="9"/>
              </w:numPr>
              <w:spacing w:before="120"/>
              <w:ind w:left="36" w:right="-534" w:firstLine="0"/>
              <w:rPr>
                <w:rFonts w:ascii="Times New Roman" w:hAnsi="Times New Roman" w:cs="Times New Roman"/>
                <w:b/>
                <w:sz w:val="20"/>
                <w:szCs w:val="20"/>
              </w:rPr>
            </w:pPr>
            <w:bookmarkStart w:id="0" w:name="_Hlk170901923"/>
          </w:p>
        </w:tc>
        <w:tc>
          <w:tcPr>
            <w:tcW w:w="1567" w:type="dxa"/>
            <w:vAlign w:val="center"/>
          </w:tcPr>
          <w:p w14:paraId="4B2806DD" w14:textId="783FBD8D" w:rsidR="003F5170" w:rsidRPr="007A61C7" w:rsidRDefault="003F5170" w:rsidP="003F5170">
            <w:pPr>
              <w:rPr>
                <w:rFonts w:ascii="Times New Roman" w:hAnsi="Times New Roman" w:cs="Times New Roman"/>
                <w:sz w:val="20"/>
                <w:szCs w:val="20"/>
              </w:rPr>
            </w:pPr>
            <w:r w:rsidRPr="007C4CA7">
              <w:rPr>
                <w:rFonts w:ascii="Times New Roman" w:hAnsi="Times New Roman" w:cs="Times New Roman"/>
                <w:sz w:val="20"/>
                <w:szCs w:val="20"/>
              </w:rPr>
              <w:t xml:space="preserve">Art. 1 pkt 7 projektu w zakresie art. 85b ust. 1 i 2 </w:t>
            </w:r>
            <w:proofErr w:type="spellStart"/>
            <w:r w:rsidRPr="007C4CA7">
              <w:rPr>
                <w:rFonts w:ascii="Times New Roman" w:hAnsi="Times New Roman" w:cs="Times New Roman"/>
                <w:sz w:val="20"/>
                <w:szCs w:val="20"/>
              </w:rPr>
              <w:t>u</w:t>
            </w:r>
            <w:r w:rsidR="004A083A">
              <w:rPr>
                <w:rFonts w:ascii="Times New Roman" w:hAnsi="Times New Roman" w:cs="Times New Roman"/>
                <w:sz w:val="20"/>
                <w:szCs w:val="20"/>
              </w:rPr>
              <w:t>.s.u.s</w:t>
            </w:r>
            <w:proofErr w:type="spellEnd"/>
            <w:r w:rsidR="004A083A">
              <w:rPr>
                <w:rFonts w:ascii="Times New Roman" w:hAnsi="Times New Roman" w:cs="Times New Roman"/>
                <w:sz w:val="20"/>
                <w:szCs w:val="20"/>
              </w:rPr>
              <w:t>.</w:t>
            </w:r>
          </w:p>
        </w:tc>
        <w:tc>
          <w:tcPr>
            <w:tcW w:w="1275" w:type="dxa"/>
            <w:vAlign w:val="center"/>
          </w:tcPr>
          <w:p w14:paraId="599C3B67" w14:textId="3220664E" w:rsidR="003F5170" w:rsidRPr="007A61C7" w:rsidRDefault="003F5170" w:rsidP="003F5170">
            <w:pPr>
              <w:rPr>
                <w:rFonts w:ascii="Times New Roman" w:hAnsi="Times New Roman" w:cs="Times New Roman"/>
                <w:sz w:val="20"/>
                <w:szCs w:val="20"/>
              </w:rPr>
            </w:pPr>
            <w:r>
              <w:rPr>
                <w:rFonts w:ascii="Times New Roman" w:hAnsi="Times New Roman" w:cs="Times New Roman"/>
                <w:sz w:val="20"/>
                <w:szCs w:val="20"/>
              </w:rPr>
              <w:t>RCL</w:t>
            </w:r>
          </w:p>
        </w:tc>
        <w:tc>
          <w:tcPr>
            <w:tcW w:w="5529" w:type="dxa"/>
          </w:tcPr>
          <w:p w14:paraId="46602A14" w14:textId="77777777" w:rsidR="003F5170" w:rsidRDefault="003F5170" w:rsidP="003F5170">
            <w:pPr>
              <w:jc w:val="both"/>
              <w:rPr>
                <w:rFonts w:ascii="Times New Roman" w:hAnsi="Times New Roman" w:cs="Times New Roman"/>
                <w:sz w:val="20"/>
                <w:szCs w:val="20"/>
              </w:rPr>
            </w:pPr>
            <w:r w:rsidRPr="003F5170">
              <w:rPr>
                <w:rFonts w:ascii="Times New Roman" w:hAnsi="Times New Roman" w:cs="Times New Roman"/>
                <w:sz w:val="20"/>
                <w:szCs w:val="20"/>
              </w:rPr>
              <w:t xml:space="preserve">W art. 1 pkt 7 projektu w dodawanym art. 85b w </w:t>
            </w:r>
            <w:r w:rsidRPr="003F5170">
              <w:rPr>
                <w:rFonts w:ascii="Times New Roman" w:hAnsi="Times New Roman" w:cs="Times New Roman"/>
                <w:i/>
                <w:iCs/>
                <w:sz w:val="20"/>
                <w:szCs w:val="20"/>
              </w:rPr>
              <w:t xml:space="preserve">ustawie z dnia 13 października 1998 r. o systemie ubezpieczeń społecznych </w:t>
            </w:r>
            <w:r w:rsidRPr="003F5170">
              <w:rPr>
                <w:rFonts w:ascii="Times New Roman" w:hAnsi="Times New Roman" w:cs="Times New Roman"/>
                <w:sz w:val="20"/>
                <w:szCs w:val="20"/>
              </w:rPr>
              <w:t>wskazuje się, na jakiej podstawie prawnej (tj. umowie o pracę lub umowie o świadczenie usług) lekarze orzecznicy oraz specjaliści wykonujący</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samodzielne zawody medyczne realizują zadania określone w przepisach ustawy (ust. 1).</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Ponadto wskazano umowę o pracę, jako wyłączną podstawę w odniesieniu do Naczelnego</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Lekarza Zakładu, lekarza inspektora nadzoru orzecznictwa lekarskiego, głównego lekarza</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orzecznika oraz zastępcy głównego lekarza orzecznika (ust. 2). Tego rodzaju zróżnicowanie</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w sytuacji, gdy przedmiot umowy jest tożsamy, a dodatkową konsekwencją zawarcia</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umowy o pracę będzie nabycie określonych uprawnień pracowniczych wynikających z</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Kodeksu pracy, budzi wątpliwości nie tylko w świetle zasady równości, ale także w świetle</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przepisów art. 22 § 1-1</w:t>
            </w:r>
            <w:r w:rsidRPr="003F5170">
              <w:rPr>
                <w:rFonts w:ascii="Times New Roman" w:hAnsi="Times New Roman" w:cs="Times New Roman"/>
                <w:sz w:val="20"/>
                <w:szCs w:val="20"/>
                <w:vertAlign w:val="superscript"/>
              </w:rPr>
              <w:t>2</w:t>
            </w:r>
            <w:r w:rsidRPr="003F5170">
              <w:rPr>
                <w:rFonts w:ascii="Times New Roman" w:hAnsi="Times New Roman" w:cs="Times New Roman"/>
                <w:sz w:val="20"/>
                <w:szCs w:val="20"/>
              </w:rPr>
              <w:t xml:space="preserve"> Kodeksu pracy, które mają na celu eliminowanie z obrotu prawnego</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takich umów o świadczenie usług, które stanowią podstawę świadczenia pracy w warunkach</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typowych dla stosunku pracy. Wymaga zatem ponownego rozważenia, jaka umowa powinna</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być zawierana. Nasuwa się także pytanie, czy w odniesieniu do osób zatrudnionych na</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podstawie umowy o pracę pracodawcą będzie Zakład, czy tworzone przez Prezesa Zakładu</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centra orzecznicze, ze względu na ich umiejscowienie w strukturze Zakładu.</w:t>
            </w:r>
          </w:p>
          <w:p w14:paraId="6001B2B0" w14:textId="77777777" w:rsidR="00A46369" w:rsidRDefault="00A46369" w:rsidP="003F5170">
            <w:pPr>
              <w:jc w:val="both"/>
              <w:rPr>
                <w:rFonts w:ascii="Times New Roman" w:hAnsi="Times New Roman" w:cs="Times New Roman"/>
                <w:sz w:val="20"/>
                <w:szCs w:val="20"/>
              </w:rPr>
            </w:pPr>
          </w:p>
          <w:p w14:paraId="1346E0D8" w14:textId="1A1BF2C6" w:rsidR="00A46369" w:rsidRPr="00507B63" w:rsidRDefault="00A46369" w:rsidP="00A46369">
            <w:pPr>
              <w:jc w:val="both"/>
              <w:rPr>
                <w:rFonts w:ascii="Times New Roman" w:hAnsi="Times New Roman" w:cs="Times New Roman"/>
                <w:b/>
                <w:bCs/>
                <w:sz w:val="20"/>
                <w:szCs w:val="20"/>
              </w:rPr>
            </w:pPr>
            <w:r w:rsidRPr="00507B63">
              <w:rPr>
                <w:rFonts w:ascii="Times New Roman" w:hAnsi="Times New Roman" w:cs="Times New Roman"/>
                <w:b/>
                <w:bCs/>
                <w:sz w:val="20"/>
                <w:szCs w:val="20"/>
              </w:rPr>
              <w:t xml:space="preserve">RCL podtrzymał </w:t>
            </w:r>
            <w:r w:rsidR="00BB4104" w:rsidRPr="00507B63">
              <w:rPr>
                <w:rFonts w:ascii="Times New Roman" w:hAnsi="Times New Roman" w:cs="Times New Roman"/>
                <w:b/>
                <w:bCs/>
                <w:sz w:val="20"/>
                <w:szCs w:val="20"/>
              </w:rPr>
              <w:t>powyższą</w:t>
            </w:r>
            <w:r w:rsidRPr="00507B63">
              <w:rPr>
                <w:rFonts w:ascii="Times New Roman" w:hAnsi="Times New Roman" w:cs="Times New Roman"/>
                <w:b/>
                <w:bCs/>
                <w:sz w:val="20"/>
                <w:szCs w:val="20"/>
              </w:rPr>
              <w:t xml:space="preserve"> uwagę:</w:t>
            </w:r>
          </w:p>
          <w:p w14:paraId="38774EBA" w14:textId="2F62A84C" w:rsidR="00A46369" w:rsidRPr="00A46369" w:rsidRDefault="00A46369" w:rsidP="00A46369">
            <w:pPr>
              <w:jc w:val="both"/>
              <w:rPr>
                <w:rFonts w:ascii="Times New Roman" w:hAnsi="Times New Roman" w:cs="Times New Roman"/>
                <w:sz w:val="20"/>
                <w:szCs w:val="20"/>
              </w:rPr>
            </w:pPr>
            <w:r w:rsidRPr="00A46369">
              <w:rPr>
                <w:rFonts w:ascii="Times New Roman" w:hAnsi="Times New Roman" w:cs="Times New Roman"/>
                <w:sz w:val="20"/>
                <w:szCs w:val="20"/>
              </w:rPr>
              <w:t>Z przedstawionych wyjaśnień wynika bowiem, że „projektowane różnicowanie podstawy</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prawnej umowy jest powiązane z charakterem prawnym wykonywanych czynności. Lekarze</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 xml:space="preserve">orzecznicy wykonują co do zasady pracę samodzielną, w której </w:t>
            </w:r>
            <w:r w:rsidRPr="00A46369">
              <w:rPr>
                <w:rFonts w:ascii="Times New Roman" w:hAnsi="Times New Roman" w:cs="Times New Roman"/>
                <w:sz w:val="20"/>
                <w:szCs w:val="20"/>
              </w:rPr>
              <w:lastRenderedPageBreak/>
              <w:t>niezależność lekarza wyraża</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się w pewnego rodzaju swobodzie wydawania orzeczeń lekarskich, tj. w oparciu o jego</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indywidualną wiedzę i doświadczenie, w oderwaniu od ewentualnych poleceń służbowych”.</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Zauważenia wymaga, że projektowana regulacja nie zawiera żadnych mechanizmów</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prawnych, które wspierałyby niezależność lekarza orzecznika. Wręcz przeciwnie z lekarzem</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orzecznikiem, który byłby zatrudniony na podstawie umowy cywilnoprawnej, w odróżnieniu</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od lekarza zatrudnionego na podstawie umowy o pracę, łatwiej będzie można rozwiązać umowę</w:t>
            </w:r>
          </w:p>
          <w:p w14:paraId="2325371B" w14:textId="7731DFF1" w:rsidR="00A46369" w:rsidRPr="00A46369" w:rsidRDefault="00A46369" w:rsidP="00A46369">
            <w:pPr>
              <w:jc w:val="both"/>
              <w:rPr>
                <w:rFonts w:ascii="Times New Roman" w:hAnsi="Times New Roman" w:cs="Times New Roman"/>
                <w:sz w:val="20"/>
                <w:szCs w:val="20"/>
              </w:rPr>
            </w:pPr>
            <w:r w:rsidRPr="00A46369">
              <w:rPr>
                <w:rFonts w:ascii="Times New Roman" w:hAnsi="Times New Roman" w:cs="Times New Roman"/>
                <w:sz w:val="20"/>
                <w:szCs w:val="20"/>
              </w:rPr>
              <w:t>(wypowiedzenie umowy o pracę wymaga bowiem uzasadnienia),</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podczas gdy w projekcie nie</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wskazano przesłanek uzasadniających rozwiązanie umowy cywilnoprawnej (ani też warunków,</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na jakich zawierana jest taka umowa). W projekcie nie zawarto także innych rozwiązań</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wspierających niezależność, na przykład nie przewidziano kadencyjności (co ma miejsce</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w przypadku pozaetatowych członków Samorządowych Kolegiów Odwoławczych, na których</w:t>
            </w:r>
            <w:r w:rsidR="00351631">
              <w:rPr>
                <w:rFonts w:ascii="Times New Roman" w:hAnsi="Times New Roman" w:cs="Times New Roman"/>
                <w:sz w:val="20"/>
                <w:szCs w:val="20"/>
              </w:rPr>
              <w:t xml:space="preserve"> </w:t>
            </w:r>
            <w:proofErr w:type="spellStart"/>
            <w:r w:rsidR="00351631">
              <w:rPr>
                <w:rFonts w:ascii="Times New Roman" w:hAnsi="Times New Roman" w:cs="Times New Roman"/>
                <w:sz w:val="20"/>
                <w:szCs w:val="20"/>
              </w:rPr>
              <w:t>MRPiPS</w:t>
            </w:r>
            <w:proofErr w:type="spellEnd"/>
            <w:r w:rsidR="00351631">
              <w:rPr>
                <w:rFonts w:ascii="Times New Roman" w:hAnsi="Times New Roman" w:cs="Times New Roman"/>
                <w:sz w:val="20"/>
                <w:szCs w:val="20"/>
              </w:rPr>
              <w:t xml:space="preserve"> </w:t>
            </w:r>
            <w:r w:rsidRPr="00A46369">
              <w:rPr>
                <w:rFonts w:ascii="Times New Roman" w:hAnsi="Times New Roman" w:cs="Times New Roman"/>
                <w:sz w:val="20"/>
                <w:szCs w:val="20"/>
              </w:rPr>
              <w:t>powołało się w wyjaśnieniach – vide art. 7</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 xml:space="preserve">ust. 7 </w:t>
            </w:r>
            <w:r w:rsidRPr="00A46369">
              <w:rPr>
                <w:rFonts w:ascii="Times New Roman" w:hAnsi="Times New Roman" w:cs="Times New Roman"/>
                <w:i/>
                <w:iCs/>
                <w:sz w:val="20"/>
                <w:szCs w:val="20"/>
              </w:rPr>
              <w:t>ustawy o samorządowych kolegiach odwoławczych</w:t>
            </w:r>
            <w:r w:rsidRPr="00A46369">
              <w:rPr>
                <w:rFonts w:ascii="Times New Roman" w:hAnsi="Times New Roman" w:cs="Times New Roman"/>
                <w:sz w:val="20"/>
                <w:szCs w:val="20"/>
              </w:rPr>
              <w:t>). Dodatkowo warto mieć na uwadze,</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że zakres odpowiedzialności przy wykonywaniu pracy (zadań służbowych) inaczej kształtuje</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się w przypadku relacji pracownik – pracodawca i zleceniobiorca – zleceniodawca,</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co w przypadku wykonywania zadań publicznych i określaniu ram prawnych ich wykonywania</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 xml:space="preserve">także należy mieć na uwadze. Ponadto z art. 79a </w:t>
            </w:r>
            <w:r w:rsidRPr="00A46369">
              <w:rPr>
                <w:rFonts w:ascii="Times New Roman" w:hAnsi="Times New Roman" w:cs="Times New Roman"/>
                <w:i/>
                <w:iCs/>
                <w:sz w:val="20"/>
                <w:szCs w:val="20"/>
              </w:rPr>
              <w:t>ustawy o systemie ubezpieczeń społecznych</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wynika, że pracownicy Zakładu korzystają z ochrony przewidzianej w Kodeksie karnym dla</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funkcjonariuszy publicznych, chyba że pełnią wyłącznie czynności usługowe. Oznacza to,</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że lekarze orzecznicy niebędący pracownikami z takiej ochrony nie będą korzystali,</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co powoduje, że sytuacja lekarzy orzeczników zatrudnionych na podstawie umowy</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cywilnoprawnej będzie mniej korzystna mimo wykonywania takich samych zadań, jak lekarze</w:t>
            </w:r>
            <w:r w:rsidR="00351631">
              <w:rPr>
                <w:rFonts w:ascii="Times New Roman" w:hAnsi="Times New Roman" w:cs="Times New Roman"/>
                <w:sz w:val="20"/>
                <w:szCs w:val="20"/>
              </w:rPr>
              <w:t xml:space="preserve"> </w:t>
            </w:r>
            <w:r w:rsidRPr="00A46369">
              <w:rPr>
                <w:rFonts w:ascii="Times New Roman" w:hAnsi="Times New Roman" w:cs="Times New Roman"/>
                <w:sz w:val="20"/>
                <w:szCs w:val="20"/>
              </w:rPr>
              <w:t>orzecznicy zatrudnieni na podstawie umowy o pracę.</w:t>
            </w:r>
          </w:p>
          <w:p w14:paraId="599FC691" w14:textId="4F690D92" w:rsidR="00A46369" w:rsidRPr="003F5170" w:rsidRDefault="00A46369" w:rsidP="00A46369">
            <w:pPr>
              <w:jc w:val="both"/>
              <w:rPr>
                <w:rFonts w:ascii="Times New Roman" w:hAnsi="Times New Roman" w:cs="Times New Roman"/>
                <w:sz w:val="20"/>
                <w:szCs w:val="20"/>
              </w:rPr>
            </w:pPr>
          </w:p>
        </w:tc>
        <w:tc>
          <w:tcPr>
            <w:tcW w:w="5812" w:type="dxa"/>
          </w:tcPr>
          <w:p w14:paraId="3F672149" w14:textId="48E8F186" w:rsidR="003F5170" w:rsidRPr="003F5170" w:rsidRDefault="003F5170" w:rsidP="003F5170">
            <w:pPr>
              <w:pStyle w:val="Akapitzlist"/>
              <w:numPr>
                <w:ilvl w:val="0"/>
                <w:numId w:val="16"/>
              </w:numPr>
              <w:spacing w:line="276" w:lineRule="auto"/>
              <w:ind w:left="0"/>
              <w:jc w:val="both"/>
              <w:rPr>
                <w:rFonts w:ascii="Times New Roman" w:hAnsi="Times New Roman" w:cs="Times New Roman"/>
                <w:sz w:val="20"/>
                <w:szCs w:val="20"/>
              </w:rPr>
            </w:pPr>
            <w:r w:rsidRPr="003F5170">
              <w:rPr>
                <w:rFonts w:ascii="Times New Roman" w:hAnsi="Times New Roman" w:cs="Times New Roman"/>
                <w:sz w:val="20"/>
                <w:szCs w:val="20"/>
              </w:rPr>
              <w:lastRenderedPageBreak/>
              <w:t xml:space="preserve">Przewidziana w projekcie ustawy koncepcja różnicowania stosunku prawnego, który może łączyć ZUS z poszczególnymi podmiotami realizującymi zadania z zakresu orzecznictwa lekarskiego, ma na celu dostosowanie środowiska prawnego, w którym funkcjonuje ZUS jako podmiot realizujący zadania publiczne, do aktualnych trendów i potrzeb rynkowych. Medyczne środowisko pracy w odniesieniu do warunków zatrudniania oczekuje bowiem  większej swobody i elastyczności, którą może zapewnić umowa o charakterze cywilnoprawnym (umowa o świadczenie usług). Propozycja </w:t>
            </w:r>
            <w:proofErr w:type="spellStart"/>
            <w:r w:rsidR="006D6009">
              <w:rPr>
                <w:rFonts w:ascii="Times New Roman" w:hAnsi="Times New Roman" w:cs="Times New Roman"/>
                <w:sz w:val="20"/>
                <w:szCs w:val="20"/>
              </w:rPr>
              <w:t>MRPiPS</w:t>
            </w:r>
            <w:proofErr w:type="spellEnd"/>
            <w:r w:rsidRPr="003F5170">
              <w:rPr>
                <w:rFonts w:ascii="Times New Roman" w:hAnsi="Times New Roman" w:cs="Times New Roman"/>
                <w:sz w:val="20"/>
                <w:szCs w:val="20"/>
              </w:rPr>
              <w:t xml:space="preserve"> wychodzi zatem naprzeciw tym oczekiwaniom, a tym samym docelowa forma współpracy byłaby uzależniona od indywidualnych preferencji lekarza orzecznika. Podkreślenia przy tym wymaga, że projektowane różnicowanie podstawy prawnej umowy jest powiązane z charakterem prawnym wykonywanych czynności. Lekarze orzecznicy wykonują co do zasady pracę samodzielną, w której niezależność lekarza wyraża się w pewnego rodzaju swobodzie wydawania orzeczeń lekarskich, tj. w oparciu o jego indywidualną wiedzę i doświadczenie, w oderwaniu od ewentualnych poleceń służbowych.  Natomiast w odniesieniu do lekarza inspektora nadzoru orzecznictwa lekarskiego, głównego lekarza</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orzecznika oraz zastępcy głównego lekarza orzecznika przeważa praca o charakterze administracyjnym (urzędniczym). W odniesieniu do tej drugiej kategorii podmiotów w większym stopniu przejawia się podporządkowanie charakterystyczne dla kodeksowego stosunku pracy.</w:t>
            </w:r>
          </w:p>
          <w:p w14:paraId="7274CB8D" w14:textId="08DFE36E" w:rsidR="003F5170" w:rsidRPr="003F5170" w:rsidRDefault="003F5170" w:rsidP="003F5170">
            <w:pPr>
              <w:jc w:val="both"/>
              <w:rPr>
                <w:rFonts w:ascii="Times New Roman" w:hAnsi="Times New Roman" w:cs="Times New Roman"/>
                <w:sz w:val="20"/>
                <w:szCs w:val="20"/>
              </w:rPr>
            </w:pPr>
            <w:r w:rsidRPr="003F5170">
              <w:rPr>
                <w:rFonts w:ascii="Times New Roman" w:hAnsi="Times New Roman" w:cs="Times New Roman"/>
                <w:sz w:val="20"/>
                <w:szCs w:val="20"/>
              </w:rPr>
              <w:lastRenderedPageBreak/>
              <w:t xml:space="preserve">Proponowane przez </w:t>
            </w:r>
            <w:proofErr w:type="spellStart"/>
            <w:r w:rsidRPr="003F5170">
              <w:rPr>
                <w:rFonts w:ascii="Times New Roman" w:hAnsi="Times New Roman" w:cs="Times New Roman"/>
                <w:sz w:val="20"/>
                <w:szCs w:val="20"/>
              </w:rPr>
              <w:t>M</w:t>
            </w:r>
            <w:r>
              <w:rPr>
                <w:rFonts w:ascii="Times New Roman" w:hAnsi="Times New Roman" w:cs="Times New Roman"/>
                <w:sz w:val="20"/>
                <w:szCs w:val="20"/>
              </w:rPr>
              <w:t>RPiPS</w:t>
            </w:r>
            <w:proofErr w:type="spellEnd"/>
            <w:r w:rsidRPr="003F5170">
              <w:rPr>
                <w:rFonts w:ascii="Times New Roman" w:hAnsi="Times New Roman" w:cs="Times New Roman"/>
                <w:sz w:val="20"/>
                <w:szCs w:val="20"/>
              </w:rPr>
              <w:t xml:space="preserve"> rozwiązanie</w:t>
            </w:r>
            <w:r w:rsidRPr="003F5170">
              <w:rPr>
                <w:rFonts w:ascii="Times New Roman" w:hAnsi="Times New Roman" w:cs="Times New Roman"/>
                <w:i/>
                <w:iCs/>
                <w:sz w:val="20"/>
                <w:szCs w:val="20"/>
              </w:rPr>
              <w:t xml:space="preserve"> </w:t>
            </w:r>
            <w:r w:rsidRPr="003F5170">
              <w:rPr>
                <w:rFonts w:ascii="Times New Roman" w:hAnsi="Times New Roman" w:cs="Times New Roman"/>
                <w:sz w:val="20"/>
                <w:szCs w:val="20"/>
              </w:rPr>
              <w:t>z powodzeniem funkcjonuje</w:t>
            </w:r>
            <w:r>
              <w:rPr>
                <w:rFonts w:ascii="Times New Roman" w:hAnsi="Times New Roman" w:cs="Times New Roman"/>
                <w:sz w:val="20"/>
                <w:szCs w:val="20"/>
              </w:rPr>
              <w:t xml:space="preserve"> </w:t>
            </w:r>
            <w:r w:rsidRPr="003F5170">
              <w:rPr>
                <w:rFonts w:ascii="Times New Roman" w:hAnsi="Times New Roman" w:cs="Times New Roman"/>
                <w:sz w:val="20"/>
                <w:szCs w:val="20"/>
              </w:rPr>
              <w:t>w aktualnym systemie prawnym, m.in.</w:t>
            </w:r>
            <w:r>
              <w:rPr>
                <w:rFonts w:ascii="Times New Roman" w:hAnsi="Times New Roman" w:cs="Times New Roman"/>
                <w:sz w:val="20"/>
                <w:szCs w:val="20"/>
              </w:rPr>
              <w:t xml:space="preserve"> </w:t>
            </w:r>
            <w:r w:rsidRPr="003F5170">
              <w:rPr>
                <w:rFonts w:ascii="Times New Roman" w:hAnsi="Times New Roman" w:cs="Times New Roman"/>
                <w:sz w:val="20"/>
                <w:szCs w:val="20"/>
              </w:rPr>
              <w:t xml:space="preserve">w zakresie zatrudniania członków Samorządowych Kolegiów Odwoławczych, w których jedynie etatowi członkowie tych kolegiów wykonują swoje obowiązki na podstawie kodeksowych form zatrudnienia, pomimo że wykonują tożsame czynności jak pozaetatowi członkowie  tych kolegiów. </w:t>
            </w:r>
          </w:p>
          <w:p w14:paraId="05B1DEDB" w14:textId="0C3A7EF9" w:rsidR="003F5170" w:rsidRDefault="003F5170" w:rsidP="003F5170">
            <w:pPr>
              <w:jc w:val="both"/>
              <w:rPr>
                <w:rFonts w:ascii="Times New Roman" w:hAnsi="Times New Roman" w:cs="Times New Roman"/>
                <w:sz w:val="20"/>
                <w:szCs w:val="20"/>
              </w:rPr>
            </w:pPr>
            <w:r w:rsidRPr="003F5170">
              <w:rPr>
                <w:rFonts w:ascii="Times New Roman" w:hAnsi="Times New Roman" w:cs="Times New Roman"/>
                <w:sz w:val="20"/>
                <w:szCs w:val="20"/>
              </w:rPr>
              <w:t xml:space="preserve">Przyjmując zatem, że analogiczne w swej istocie rozwiązanie nie jest w żaden sposób  kwestionowane w odniesieniu do ww. podmiotów, można uznać, że brak jest wystarczających argumentów do przyjęcia, że nie może ono zostać implementowane również na gruncie orzecznictwa lekarskiego w ZUS. </w:t>
            </w:r>
          </w:p>
          <w:p w14:paraId="3B25BD45" w14:textId="31DADD5A" w:rsidR="00351631" w:rsidRDefault="00351631" w:rsidP="003F5170">
            <w:pPr>
              <w:jc w:val="both"/>
              <w:rPr>
                <w:rFonts w:ascii="Times New Roman" w:hAnsi="Times New Roman" w:cs="Times New Roman"/>
                <w:sz w:val="20"/>
                <w:szCs w:val="20"/>
              </w:rPr>
            </w:pPr>
          </w:p>
          <w:p w14:paraId="346AA501" w14:textId="17F55A69" w:rsidR="00351631" w:rsidRPr="003F5170" w:rsidRDefault="00351631" w:rsidP="003F5170">
            <w:pPr>
              <w:jc w:val="both"/>
              <w:rPr>
                <w:rFonts w:ascii="Times New Roman" w:hAnsi="Times New Roman" w:cs="Times New Roman"/>
                <w:sz w:val="20"/>
                <w:szCs w:val="20"/>
              </w:rPr>
            </w:pPr>
            <w:r>
              <w:rPr>
                <w:rFonts w:ascii="Times New Roman" w:hAnsi="Times New Roman" w:cs="Times New Roman"/>
                <w:sz w:val="20"/>
                <w:szCs w:val="20"/>
              </w:rPr>
              <w:t xml:space="preserve">Jednocześnie </w:t>
            </w:r>
            <w:proofErr w:type="spellStart"/>
            <w:r>
              <w:rPr>
                <w:rFonts w:ascii="Times New Roman" w:hAnsi="Times New Roman" w:cs="Times New Roman"/>
                <w:sz w:val="20"/>
                <w:szCs w:val="20"/>
              </w:rPr>
              <w:t>MRPiPS</w:t>
            </w:r>
            <w:proofErr w:type="spellEnd"/>
            <w:r>
              <w:rPr>
                <w:rFonts w:ascii="Times New Roman" w:hAnsi="Times New Roman" w:cs="Times New Roman"/>
                <w:sz w:val="20"/>
                <w:szCs w:val="20"/>
              </w:rPr>
              <w:t xml:space="preserve"> wyjaśnia, że w </w:t>
            </w:r>
            <w:r w:rsidRPr="00351631">
              <w:rPr>
                <w:rFonts w:ascii="Times New Roman" w:hAnsi="Times New Roman" w:cs="Times New Roman"/>
                <w:sz w:val="20"/>
                <w:szCs w:val="20"/>
              </w:rPr>
              <w:t xml:space="preserve">odniesieniu do osób zatrudnionych na podstawie umowy o pracę pracodawcą będzie </w:t>
            </w:r>
            <w:r w:rsidR="009D291F">
              <w:rPr>
                <w:rFonts w:ascii="Times New Roman" w:hAnsi="Times New Roman" w:cs="Times New Roman"/>
                <w:sz w:val="20"/>
                <w:szCs w:val="20"/>
              </w:rPr>
              <w:t>ZUS</w:t>
            </w:r>
            <w:r w:rsidRPr="00351631">
              <w:rPr>
                <w:rFonts w:ascii="Times New Roman" w:hAnsi="Times New Roman" w:cs="Times New Roman"/>
                <w:sz w:val="20"/>
                <w:szCs w:val="20"/>
              </w:rPr>
              <w:t>. Natomiast spełnianie funkcji pracodawcy w rozumieniu przepisów Kodeksu pracy należy do Prezesa Zakładu (art. 73 ust. 3 pkt 7 ustawy systemowej).</w:t>
            </w:r>
          </w:p>
          <w:p w14:paraId="13BF2A23" w14:textId="77777777" w:rsidR="003F5170" w:rsidRPr="003F5170" w:rsidRDefault="003F5170" w:rsidP="003F5170">
            <w:pPr>
              <w:jc w:val="both"/>
              <w:rPr>
                <w:rFonts w:ascii="Times New Roman" w:hAnsi="Times New Roman" w:cs="Times New Roman"/>
                <w:sz w:val="20"/>
                <w:szCs w:val="20"/>
              </w:rPr>
            </w:pPr>
          </w:p>
          <w:p w14:paraId="619194F2" w14:textId="77777777" w:rsidR="003F5170" w:rsidRPr="003F5170" w:rsidRDefault="003F5170" w:rsidP="003F5170">
            <w:pPr>
              <w:rPr>
                <w:rFonts w:ascii="Times New Roman" w:hAnsi="Times New Roman" w:cs="Times New Roman"/>
                <w:sz w:val="20"/>
                <w:szCs w:val="20"/>
              </w:rPr>
            </w:pPr>
          </w:p>
        </w:tc>
      </w:tr>
      <w:tr w:rsidR="003F5170" w:rsidRPr="007A61C7" w14:paraId="6EA2D31B" w14:textId="77777777" w:rsidTr="00A30AE1">
        <w:trPr>
          <w:gridAfter w:val="1"/>
          <w:wAfter w:w="20" w:type="dxa"/>
          <w:jc w:val="center"/>
        </w:trPr>
        <w:tc>
          <w:tcPr>
            <w:tcW w:w="555" w:type="dxa"/>
            <w:vAlign w:val="center"/>
          </w:tcPr>
          <w:p w14:paraId="2307DB81" w14:textId="77777777" w:rsidR="003F5170" w:rsidRPr="0000747A" w:rsidRDefault="003F5170" w:rsidP="003F5170">
            <w:pPr>
              <w:pStyle w:val="Akapitzlist"/>
              <w:numPr>
                <w:ilvl w:val="0"/>
                <w:numId w:val="9"/>
              </w:numPr>
              <w:spacing w:before="120"/>
              <w:ind w:left="36" w:right="-534" w:firstLine="0"/>
              <w:rPr>
                <w:rFonts w:ascii="Times New Roman" w:hAnsi="Times New Roman" w:cs="Times New Roman"/>
                <w:b/>
                <w:sz w:val="20"/>
                <w:szCs w:val="20"/>
              </w:rPr>
            </w:pPr>
          </w:p>
        </w:tc>
        <w:tc>
          <w:tcPr>
            <w:tcW w:w="1567" w:type="dxa"/>
            <w:vAlign w:val="center"/>
          </w:tcPr>
          <w:p w14:paraId="7F7C9CA8" w14:textId="6243A91B" w:rsidR="003F5170" w:rsidRPr="007A61C7" w:rsidRDefault="004A083A" w:rsidP="003F5170">
            <w:pPr>
              <w:rPr>
                <w:rFonts w:ascii="Times New Roman" w:hAnsi="Times New Roman" w:cs="Times New Roman"/>
                <w:sz w:val="20"/>
                <w:szCs w:val="20"/>
              </w:rPr>
            </w:pPr>
            <w:r w:rsidRPr="004A083A">
              <w:rPr>
                <w:rFonts w:ascii="Times New Roman" w:hAnsi="Times New Roman" w:cs="Times New Roman"/>
                <w:sz w:val="20"/>
                <w:szCs w:val="20"/>
              </w:rPr>
              <w:t xml:space="preserve">Art. 1 pkt 7 projektu w zakresie art. 85b ust. 3–5 </w:t>
            </w:r>
            <w:proofErr w:type="spellStart"/>
            <w:r>
              <w:rPr>
                <w:rFonts w:ascii="Times New Roman" w:hAnsi="Times New Roman" w:cs="Times New Roman"/>
                <w:sz w:val="20"/>
                <w:szCs w:val="20"/>
              </w:rPr>
              <w:t>u.s.u.s</w:t>
            </w:r>
            <w:proofErr w:type="spellEnd"/>
            <w:r>
              <w:rPr>
                <w:rFonts w:ascii="Times New Roman" w:hAnsi="Times New Roman" w:cs="Times New Roman"/>
                <w:sz w:val="20"/>
                <w:szCs w:val="20"/>
              </w:rPr>
              <w:t>.</w:t>
            </w:r>
          </w:p>
        </w:tc>
        <w:tc>
          <w:tcPr>
            <w:tcW w:w="1275" w:type="dxa"/>
            <w:vAlign w:val="center"/>
          </w:tcPr>
          <w:p w14:paraId="6A92CD18" w14:textId="16E60E59" w:rsidR="003F5170" w:rsidRPr="007A61C7" w:rsidRDefault="004A083A" w:rsidP="003F5170">
            <w:pPr>
              <w:rPr>
                <w:rFonts w:ascii="Times New Roman" w:hAnsi="Times New Roman" w:cs="Times New Roman"/>
                <w:sz w:val="20"/>
                <w:szCs w:val="20"/>
              </w:rPr>
            </w:pPr>
            <w:r>
              <w:rPr>
                <w:rFonts w:ascii="Times New Roman" w:hAnsi="Times New Roman" w:cs="Times New Roman"/>
                <w:sz w:val="20"/>
                <w:szCs w:val="20"/>
              </w:rPr>
              <w:t>RCL</w:t>
            </w:r>
          </w:p>
        </w:tc>
        <w:tc>
          <w:tcPr>
            <w:tcW w:w="5529" w:type="dxa"/>
            <w:vAlign w:val="center"/>
          </w:tcPr>
          <w:p w14:paraId="59642495" w14:textId="77777777" w:rsidR="003F5170" w:rsidRDefault="004A083A" w:rsidP="003F5170">
            <w:pPr>
              <w:jc w:val="both"/>
              <w:rPr>
                <w:rFonts w:ascii="Times New Roman" w:hAnsi="Times New Roman" w:cs="Times New Roman"/>
                <w:sz w:val="20"/>
                <w:szCs w:val="20"/>
              </w:rPr>
            </w:pPr>
            <w:r w:rsidRPr="004A083A">
              <w:rPr>
                <w:rFonts w:ascii="Times New Roman" w:hAnsi="Times New Roman" w:cs="Times New Roman"/>
                <w:sz w:val="20"/>
                <w:szCs w:val="20"/>
              </w:rPr>
              <w:t xml:space="preserve">Budzi także zastrzeżenia przyznawanie prawa do wynagrodzenia zasadniczego w określonej wysokości jedynie w przypadku zawarcia umowy o pracę. Co więcej, posługiwanie się określeniem </w:t>
            </w:r>
            <w:r w:rsidRPr="004A083A">
              <w:rPr>
                <w:rFonts w:ascii="Times New Roman" w:hAnsi="Times New Roman" w:cs="Times New Roman"/>
                <w:i/>
                <w:iCs/>
                <w:sz w:val="20"/>
                <w:szCs w:val="20"/>
              </w:rPr>
              <w:t xml:space="preserve">„wynagrodzenie zasadnicze” </w:t>
            </w:r>
            <w:r w:rsidRPr="004A083A">
              <w:rPr>
                <w:rFonts w:ascii="Times New Roman" w:hAnsi="Times New Roman" w:cs="Times New Roman"/>
                <w:sz w:val="20"/>
                <w:szCs w:val="20"/>
              </w:rPr>
              <w:t xml:space="preserve">może sugerować istnienie innych </w:t>
            </w:r>
            <w:r w:rsidRPr="004A083A">
              <w:rPr>
                <w:rFonts w:ascii="Times New Roman" w:hAnsi="Times New Roman" w:cs="Times New Roman"/>
                <w:sz w:val="20"/>
                <w:szCs w:val="20"/>
              </w:rPr>
              <w:lastRenderedPageBreak/>
              <w:t>składników wynagrodzenia, do których przysługuje prawo na podstawie innych przepisów prawa pracy.</w:t>
            </w:r>
          </w:p>
          <w:p w14:paraId="2C42BD17" w14:textId="77777777" w:rsidR="000E57F6" w:rsidRDefault="000E57F6" w:rsidP="003F5170">
            <w:pPr>
              <w:jc w:val="both"/>
              <w:rPr>
                <w:rFonts w:ascii="Times New Roman" w:hAnsi="Times New Roman" w:cs="Times New Roman"/>
                <w:sz w:val="20"/>
                <w:szCs w:val="20"/>
              </w:rPr>
            </w:pPr>
          </w:p>
          <w:p w14:paraId="5AC31593" w14:textId="14595741" w:rsidR="000E57F6" w:rsidRPr="00507B63" w:rsidRDefault="000E57F6" w:rsidP="000E57F6">
            <w:pPr>
              <w:jc w:val="both"/>
              <w:rPr>
                <w:rFonts w:ascii="Times New Roman" w:hAnsi="Times New Roman" w:cs="Times New Roman"/>
                <w:b/>
                <w:bCs/>
                <w:sz w:val="20"/>
                <w:szCs w:val="20"/>
              </w:rPr>
            </w:pPr>
            <w:bookmarkStart w:id="1" w:name="_Hlk188953040"/>
            <w:r w:rsidRPr="000E57F6">
              <w:rPr>
                <w:rFonts w:ascii="Times New Roman" w:hAnsi="Times New Roman" w:cs="Times New Roman"/>
                <w:b/>
                <w:bCs/>
                <w:sz w:val="20"/>
                <w:szCs w:val="20"/>
              </w:rPr>
              <w:t xml:space="preserve">RCL podtrzymał </w:t>
            </w:r>
            <w:r w:rsidR="00BB4104" w:rsidRPr="00507B63">
              <w:rPr>
                <w:rFonts w:ascii="Times New Roman" w:hAnsi="Times New Roman" w:cs="Times New Roman"/>
                <w:b/>
                <w:bCs/>
                <w:sz w:val="20"/>
                <w:szCs w:val="20"/>
              </w:rPr>
              <w:t>powyższą</w:t>
            </w:r>
            <w:r w:rsidRPr="000E57F6">
              <w:rPr>
                <w:rFonts w:ascii="Times New Roman" w:hAnsi="Times New Roman" w:cs="Times New Roman"/>
                <w:b/>
                <w:bCs/>
                <w:sz w:val="20"/>
                <w:szCs w:val="20"/>
              </w:rPr>
              <w:t xml:space="preserve"> uwagę:</w:t>
            </w:r>
          </w:p>
          <w:p w14:paraId="00F7B73E" w14:textId="64C788C8" w:rsidR="00BB4104" w:rsidRPr="000E57F6" w:rsidRDefault="00BB4104" w:rsidP="000E57F6">
            <w:pPr>
              <w:jc w:val="both"/>
              <w:rPr>
                <w:rFonts w:ascii="Times New Roman" w:hAnsi="Times New Roman" w:cs="Times New Roman"/>
                <w:sz w:val="20"/>
                <w:szCs w:val="20"/>
              </w:rPr>
            </w:pPr>
            <w:r w:rsidRPr="00BB4104">
              <w:rPr>
                <w:rFonts w:ascii="Times New Roman" w:hAnsi="Times New Roman" w:cs="Times New Roman"/>
                <w:sz w:val="20"/>
                <w:szCs w:val="20"/>
              </w:rPr>
              <w:t xml:space="preserve">Projektowana regulacja powoduje również nierówności między pracownikami ZUS w zakresie zasad wynagradzania. Pracownicy Zakładu, jak wynika z wyjaśnień </w:t>
            </w:r>
            <w:proofErr w:type="spellStart"/>
            <w:r>
              <w:rPr>
                <w:rFonts w:ascii="Times New Roman" w:hAnsi="Times New Roman" w:cs="Times New Roman"/>
                <w:sz w:val="20"/>
                <w:szCs w:val="20"/>
              </w:rPr>
              <w:t>MRPiPS</w:t>
            </w:r>
            <w:proofErr w:type="spellEnd"/>
            <w:r w:rsidRPr="00BB4104">
              <w:rPr>
                <w:rFonts w:ascii="Times New Roman" w:hAnsi="Times New Roman" w:cs="Times New Roman"/>
                <w:sz w:val="20"/>
                <w:szCs w:val="20"/>
              </w:rPr>
              <w:t>, są objęci układem zbiorowym pracy. Natomiast w odniesieniu do lekarzy orzeczników będących pracownikami zawarto w projekcie przepisy gwarantujące wynagrodzenie zasadnicze na określonym poziomie niezależnie od postanowień układowych. Jednocześnie w odniesieniu do lekarzy orzeczników zatrudnionych na podstawie umowy cywilnoprawnej nie zamieszczono żadnych przepisów wynagrodzeniowych, a z wyjaśnień Ministerstwa wynika, że „źródłem praw i obowiązków stron będą przede wszystkim postanowienia umowne”. Warto jednak zauważyć, że zgodnie z art. 21 ust. 3 ustawy o związkach zawodowych przepisy działu jedenastego ustawy z dnia 26 czerwca 1974 r. – Kodeks pracy (Układy zbiorowe pracy) stosuje się odpowiednio do innych niż pracownicy osób wykonujących pracę zarobkową oraz ich pracodawców, a także do organizacji zrzeszających te podmioty. W tym kontekście nasuwa się pytanie o intencje Projektodawcy, bowiem brak regulacji ustawowej w zakresie zasad wynagradzania lekarzy orzeczników niebędących pracownikami może być rozumiany jako objęcie tej grupy lekarzy postanowieniami układu zbiorowego.</w:t>
            </w:r>
          </w:p>
          <w:bookmarkEnd w:id="1"/>
          <w:p w14:paraId="1CD2F97F" w14:textId="71DC5200" w:rsidR="000E57F6" w:rsidRPr="007A61C7" w:rsidRDefault="000E57F6" w:rsidP="003F5170">
            <w:pPr>
              <w:jc w:val="both"/>
              <w:rPr>
                <w:rFonts w:ascii="Times New Roman" w:hAnsi="Times New Roman" w:cs="Times New Roman"/>
                <w:sz w:val="20"/>
                <w:szCs w:val="20"/>
              </w:rPr>
            </w:pPr>
          </w:p>
        </w:tc>
        <w:tc>
          <w:tcPr>
            <w:tcW w:w="5812" w:type="dxa"/>
          </w:tcPr>
          <w:p w14:paraId="56067428" w14:textId="77777777" w:rsidR="004A083A" w:rsidRPr="004A083A" w:rsidRDefault="004A083A" w:rsidP="004A083A">
            <w:pPr>
              <w:jc w:val="both"/>
              <w:rPr>
                <w:rFonts w:ascii="Times New Roman" w:hAnsi="Times New Roman" w:cs="Times New Roman"/>
                <w:sz w:val="20"/>
                <w:szCs w:val="20"/>
              </w:rPr>
            </w:pPr>
            <w:r w:rsidRPr="004A083A">
              <w:rPr>
                <w:rFonts w:ascii="Times New Roman" w:hAnsi="Times New Roman" w:cs="Times New Roman"/>
                <w:sz w:val="20"/>
                <w:szCs w:val="20"/>
              </w:rPr>
              <w:lastRenderedPageBreak/>
              <w:t xml:space="preserve">W odniesieniu do lekarzy orzeczników, którzy zadeklarują chęć nawiązania współpracy na podstawie umowy cywilnoprawnej, źródłem praw i obowiązków stron będą przede wszystkim postanowienia umowne. </w:t>
            </w:r>
          </w:p>
          <w:p w14:paraId="50A311F3" w14:textId="3331CFB2" w:rsidR="004A083A" w:rsidRPr="004A083A" w:rsidRDefault="004A083A" w:rsidP="004A083A">
            <w:pPr>
              <w:jc w:val="both"/>
              <w:rPr>
                <w:rFonts w:ascii="Times New Roman" w:hAnsi="Times New Roman" w:cs="Times New Roman"/>
                <w:sz w:val="20"/>
                <w:szCs w:val="20"/>
              </w:rPr>
            </w:pPr>
            <w:r w:rsidRPr="004A083A">
              <w:rPr>
                <w:rFonts w:ascii="Times New Roman" w:hAnsi="Times New Roman" w:cs="Times New Roman"/>
                <w:sz w:val="20"/>
                <w:szCs w:val="20"/>
              </w:rPr>
              <w:lastRenderedPageBreak/>
              <w:t xml:space="preserve">Intencją </w:t>
            </w:r>
            <w:proofErr w:type="spellStart"/>
            <w:r w:rsidRPr="004A083A">
              <w:rPr>
                <w:rFonts w:ascii="Times New Roman" w:hAnsi="Times New Roman" w:cs="Times New Roman"/>
                <w:sz w:val="20"/>
                <w:szCs w:val="20"/>
              </w:rPr>
              <w:t>M</w:t>
            </w:r>
            <w:r>
              <w:rPr>
                <w:rFonts w:ascii="Times New Roman" w:hAnsi="Times New Roman" w:cs="Times New Roman"/>
                <w:sz w:val="20"/>
                <w:szCs w:val="20"/>
              </w:rPr>
              <w:t>RPiPS</w:t>
            </w:r>
            <w:proofErr w:type="spellEnd"/>
            <w:r w:rsidRPr="004A083A">
              <w:rPr>
                <w:rFonts w:ascii="Times New Roman" w:hAnsi="Times New Roman" w:cs="Times New Roman"/>
                <w:sz w:val="20"/>
                <w:szCs w:val="20"/>
              </w:rPr>
              <w:t xml:space="preserve"> w zakresie kształtowania warunków wynagradzania lekarzy/</w:t>
            </w:r>
            <w:r w:rsidR="000E57F6">
              <w:rPr>
                <w:rFonts w:ascii="Times New Roman" w:hAnsi="Times New Roman" w:cs="Times New Roman"/>
                <w:sz w:val="20"/>
                <w:szCs w:val="20"/>
              </w:rPr>
              <w:t>osób wykonujących samodzielne zawody medyczne, zatrudnionych na podstawie umowy o pracę,</w:t>
            </w:r>
            <w:r w:rsidRPr="004A083A">
              <w:rPr>
                <w:rFonts w:ascii="Times New Roman" w:hAnsi="Times New Roman" w:cs="Times New Roman"/>
                <w:sz w:val="20"/>
                <w:szCs w:val="20"/>
              </w:rPr>
              <w:t xml:space="preserve"> było zastosowanie rozwiązań analogicznych, jakie obowiązują w odniesieniu do pracowników zatrudnionych w podmiotach leczniczych na podstawie ustawy z </w:t>
            </w:r>
            <w:r w:rsidR="000E57F6">
              <w:rPr>
                <w:rFonts w:ascii="Times New Roman" w:hAnsi="Times New Roman" w:cs="Times New Roman"/>
                <w:sz w:val="20"/>
                <w:szCs w:val="20"/>
              </w:rPr>
              <w:t xml:space="preserve">dnia </w:t>
            </w:r>
            <w:r w:rsidRPr="004A083A">
              <w:rPr>
                <w:rFonts w:ascii="Times New Roman" w:hAnsi="Times New Roman" w:cs="Times New Roman"/>
                <w:sz w:val="20"/>
                <w:szCs w:val="20"/>
              </w:rPr>
              <w:t xml:space="preserve">8 czerwca 2017 r. </w:t>
            </w:r>
            <w:r w:rsidRPr="004A083A">
              <w:rPr>
                <w:rFonts w:ascii="Times New Roman" w:hAnsi="Times New Roman" w:cs="Times New Roman"/>
                <w:i/>
                <w:iCs/>
                <w:sz w:val="20"/>
                <w:szCs w:val="20"/>
              </w:rPr>
              <w:t>o sposobie ustalania najniższego wynagrodzenia zasadniczego niektórych pracowników zatrudnionych w podmiotach leczniczych</w:t>
            </w:r>
            <w:r w:rsidRPr="004A083A">
              <w:rPr>
                <w:rFonts w:ascii="Times New Roman" w:hAnsi="Times New Roman" w:cs="Times New Roman"/>
                <w:sz w:val="20"/>
                <w:szCs w:val="20"/>
              </w:rPr>
              <w:t xml:space="preserve"> (Dz. U. z 2017 r. poz. 1473</w:t>
            </w:r>
            <w:r w:rsidR="000E57F6">
              <w:rPr>
                <w:rFonts w:ascii="Times New Roman" w:hAnsi="Times New Roman" w:cs="Times New Roman"/>
                <w:sz w:val="20"/>
                <w:szCs w:val="20"/>
              </w:rPr>
              <w:t>,</w:t>
            </w:r>
            <w:r w:rsidRPr="004A083A">
              <w:rPr>
                <w:rFonts w:ascii="Times New Roman" w:hAnsi="Times New Roman" w:cs="Times New Roman"/>
                <w:sz w:val="20"/>
                <w:szCs w:val="20"/>
              </w:rPr>
              <w:t xml:space="preserve"> z późn.zm.).</w:t>
            </w:r>
          </w:p>
          <w:p w14:paraId="1AF474F1" w14:textId="77777777" w:rsidR="004A083A" w:rsidRPr="004A083A" w:rsidRDefault="004A083A" w:rsidP="004A083A">
            <w:pPr>
              <w:jc w:val="both"/>
              <w:rPr>
                <w:rFonts w:ascii="Times New Roman" w:hAnsi="Times New Roman" w:cs="Times New Roman"/>
                <w:sz w:val="20"/>
                <w:szCs w:val="20"/>
              </w:rPr>
            </w:pPr>
          </w:p>
          <w:p w14:paraId="2F36F6FA" w14:textId="652F88BF" w:rsidR="004A083A" w:rsidRDefault="004A083A" w:rsidP="004A083A">
            <w:pPr>
              <w:jc w:val="both"/>
              <w:rPr>
                <w:rFonts w:ascii="Times New Roman" w:hAnsi="Times New Roman" w:cs="Times New Roman"/>
                <w:sz w:val="20"/>
                <w:szCs w:val="20"/>
              </w:rPr>
            </w:pPr>
            <w:r w:rsidRPr="004A083A">
              <w:rPr>
                <w:rFonts w:ascii="Times New Roman" w:hAnsi="Times New Roman" w:cs="Times New Roman"/>
                <w:sz w:val="20"/>
                <w:szCs w:val="20"/>
              </w:rPr>
              <w:t xml:space="preserve">W </w:t>
            </w:r>
            <w:r>
              <w:rPr>
                <w:rFonts w:ascii="Times New Roman" w:hAnsi="Times New Roman" w:cs="Times New Roman"/>
                <w:sz w:val="20"/>
                <w:szCs w:val="20"/>
              </w:rPr>
              <w:t>ZUS</w:t>
            </w:r>
            <w:r w:rsidRPr="004A083A">
              <w:rPr>
                <w:rFonts w:ascii="Times New Roman" w:hAnsi="Times New Roman" w:cs="Times New Roman"/>
                <w:sz w:val="20"/>
                <w:szCs w:val="20"/>
              </w:rPr>
              <w:t xml:space="preserve"> funkcjonuje „Zakładowy Układ Zbiorowy Pracy dla pracowników Zakładu Ubezpieczeń Społecznych”, którego obowiązek zawarcia wynikał z treści art. 113c ust. 6 </w:t>
            </w:r>
            <w:proofErr w:type="spellStart"/>
            <w:r w:rsidRPr="004A083A">
              <w:rPr>
                <w:rFonts w:ascii="Times New Roman" w:hAnsi="Times New Roman" w:cs="Times New Roman"/>
                <w:sz w:val="20"/>
                <w:szCs w:val="20"/>
              </w:rPr>
              <w:t>u.s.u.s</w:t>
            </w:r>
            <w:proofErr w:type="spellEnd"/>
            <w:r w:rsidRPr="004A083A">
              <w:rPr>
                <w:rFonts w:ascii="Times New Roman" w:hAnsi="Times New Roman" w:cs="Times New Roman"/>
                <w:sz w:val="20"/>
                <w:szCs w:val="20"/>
              </w:rPr>
              <w:t>.</w:t>
            </w:r>
            <w:r w:rsidR="000E57F6">
              <w:rPr>
                <w:rFonts w:ascii="Times New Roman" w:hAnsi="Times New Roman" w:cs="Times New Roman"/>
                <w:sz w:val="20"/>
                <w:szCs w:val="20"/>
              </w:rPr>
              <w:t xml:space="preserve"> Układ ten</w:t>
            </w:r>
            <w:r w:rsidRPr="004A083A">
              <w:rPr>
                <w:rFonts w:ascii="Times New Roman" w:hAnsi="Times New Roman" w:cs="Times New Roman"/>
                <w:sz w:val="20"/>
                <w:szCs w:val="20"/>
              </w:rPr>
              <w:t xml:space="preserve"> określa m.in. zasady wynagradzania. Zakresem tego aktu prawnego objęci są co do zasady wszyscy pracownicy ZUS, bez względu na zajmowane stanowisko i podstawę nawiązania stosunku pracy, z wyłączeniem – w części dotyczącej wynagrodzenia – pracowników zarządzających w imieniu pracodawcy zakładem pracy, zatrudnionych na enumeratywnie wymienionych stanowiskach pracy. </w:t>
            </w:r>
          </w:p>
          <w:p w14:paraId="6B9E0125" w14:textId="77777777" w:rsidR="00C752BD" w:rsidRPr="004A083A" w:rsidRDefault="00C752BD" w:rsidP="004A083A">
            <w:pPr>
              <w:jc w:val="both"/>
              <w:rPr>
                <w:rFonts w:ascii="Times New Roman" w:hAnsi="Times New Roman" w:cs="Times New Roman"/>
                <w:sz w:val="20"/>
                <w:szCs w:val="20"/>
              </w:rPr>
            </w:pPr>
          </w:p>
          <w:p w14:paraId="6AAD9BDA" w14:textId="026710D5" w:rsidR="004A083A" w:rsidRPr="004A083A" w:rsidRDefault="00C752BD" w:rsidP="004A083A">
            <w:pPr>
              <w:jc w:val="both"/>
              <w:rPr>
                <w:rFonts w:ascii="Times New Roman" w:hAnsi="Times New Roman" w:cs="Times New Roman"/>
                <w:sz w:val="20"/>
                <w:szCs w:val="20"/>
              </w:rPr>
            </w:pPr>
            <w:r w:rsidRPr="00C752BD">
              <w:rPr>
                <w:rFonts w:ascii="Times New Roman" w:hAnsi="Times New Roman" w:cs="Times New Roman"/>
                <w:sz w:val="20"/>
                <w:szCs w:val="20"/>
              </w:rPr>
              <w:t>Proponowane brzmienie art. 85b ustawy systemowej</w:t>
            </w:r>
            <w:r>
              <w:rPr>
                <w:rFonts w:ascii="Times New Roman" w:hAnsi="Times New Roman" w:cs="Times New Roman"/>
                <w:sz w:val="20"/>
                <w:szCs w:val="20"/>
              </w:rPr>
              <w:t xml:space="preserve"> </w:t>
            </w:r>
            <w:r w:rsidR="004A083A" w:rsidRPr="004A083A">
              <w:rPr>
                <w:rFonts w:ascii="Times New Roman" w:hAnsi="Times New Roman" w:cs="Times New Roman"/>
                <w:sz w:val="20"/>
                <w:szCs w:val="20"/>
              </w:rPr>
              <w:t xml:space="preserve">jest wyrazem dążenia </w:t>
            </w:r>
            <w:proofErr w:type="spellStart"/>
            <w:r w:rsidR="004A083A" w:rsidRPr="004A083A">
              <w:rPr>
                <w:rFonts w:ascii="Times New Roman" w:hAnsi="Times New Roman" w:cs="Times New Roman"/>
                <w:sz w:val="20"/>
                <w:szCs w:val="20"/>
              </w:rPr>
              <w:t>M</w:t>
            </w:r>
            <w:r>
              <w:rPr>
                <w:rFonts w:ascii="Times New Roman" w:hAnsi="Times New Roman" w:cs="Times New Roman"/>
                <w:sz w:val="20"/>
                <w:szCs w:val="20"/>
              </w:rPr>
              <w:t>R</w:t>
            </w:r>
            <w:r w:rsidR="00BB4104">
              <w:rPr>
                <w:rFonts w:ascii="Times New Roman" w:hAnsi="Times New Roman" w:cs="Times New Roman"/>
                <w:sz w:val="20"/>
                <w:szCs w:val="20"/>
              </w:rPr>
              <w:t>P</w:t>
            </w:r>
            <w:r>
              <w:rPr>
                <w:rFonts w:ascii="Times New Roman" w:hAnsi="Times New Roman" w:cs="Times New Roman"/>
                <w:sz w:val="20"/>
                <w:szCs w:val="20"/>
              </w:rPr>
              <w:t>iPS</w:t>
            </w:r>
            <w:proofErr w:type="spellEnd"/>
            <w:r w:rsidR="004A083A" w:rsidRPr="004A083A">
              <w:rPr>
                <w:rFonts w:ascii="Times New Roman" w:hAnsi="Times New Roman" w:cs="Times New Roman"/>
                <w:sz w:val="20"/>
                <w:szCs w:val="20"/>
              </w:rPr>
              <w:t xml:space="preserve"> do zachowania przez </w:t>
            </w:r>
            <w:r>
              <w:rPr>
                <w:rFonts w:ascii="Times New Roman" w:hAnsi="Times New Roman" w:cs="Times New Roman"/>
                <w:sz w:val="20"/>
                <w:szCs w:val="20"/>
              </w:rPr>
              <w:t>ww.</w:t>
            </w:r>
            <w:r w:rsidR="004A083A" w:rsidRPr="004A083A">
              <w:rPr>
                <w:rFonts w:ascii="Times New Roman" w:hAnsi="Times New Roman" w:cs="Times New Roman"/>
                <w:sz w:val="20"/>
                <w:szCs w:val="20"/>
              </w:rPr>
              <w:t xml:space="preserve"> podmioty uprawnienia do dodatkowych składników wynagrodzenia, zagwarantowanych zapisami ww. układu. </w:t>
            </w:r>
            <w:r>
              <w:rPr>
                <w:rFonts w:ascii="Times New Roman" w:hAnsi="Times New Roman" w:cs="Times New Roman"/>
                <w:sz w:val="20"/>
                <w:szCs w:val="20"/>
              </w:rPr>
              <w:t>Oznacza to, że również w odniesieniu do lekarzy orzeczników oraz osób wykonujących samodzielne zawody medyczne zatrudnionych na podstawie umowy o pracę, w zakresie nieobjętym regulacjami projektowanej ustawy</w:t>
            </w:r>
            <w:r w:rsidR="00CB182D">
              <w:rPr>
                <w:rFonts w:ascii="Times New Roman" w:hAnsi="Times New Roman" w:cs="Times New Roman"/>
                <w:sz w:val="20"/>
                <w:szCs w:val="20"/>
              </w:rPr>
              <w:t xml:space="preserve"> (czyli poza wysokością wynagrodzenia zasadniczego) będą miały zastosowanie postanowienia dotyczące pozostałych składników wynagrodzenia oraz świadczeń związanych z pracą, czyli m.in. </w:t>
            </w:r>
            <w:r w:rsidR="00CB182D" w:rsidRPr="00CB182D">
              <w:rPr>
                <w:rFonts w:ascii="Times New Roman" w:hAnsi="Times New Roman" w:cs="Times New Roman"/>
                <w:sz w:val="20"/>
                <w:szCs w:val="20"/>
              </w:rPr>
              <w:t>premii, dodatku stażowego, dodatku specjalnego, „trzynastki”, nagrody jubileuszowej, odprawy emerytalno-rentowej. W konsekwencji nie ma potrzeby doprecyzowania tej kwestii w przepisach projektowanej ustawy.</w:t>
            </w:r>
          </w:p>
          <w:p w14:paraId="593202D0" w14:textId="59449797" w:rsidR="003F5170" w:rsidRPr="007A61C7" w:rsidRDefault="003F5170" w:rsidP="00CB182D">
            <w:pPr>
              <w:jc w:val="both"/>
              <w:rPr>
                <w:rFonts w:ascii="Times New Roman" w:hAnsi="Times New Roman" w:cs="Times New Roman"/>
                <w:sz w:val="20"/>
                <w:szCs w:val="20"/>
              </w:rPr>
            </w:pPr>
          </w:p>
        </w:tc>
      </w:tr>
      <w:tr w:rsidR="003F5170" w:rsidRPr="007A61C7" w14:paraId="50C2CD2C" w14:textId="77777777" w:rsidTr="00A30AE1">
        <w:trPr>
          <w:gridAfter w:val="1"/>
          <w:wAfter w:w="20" w:type="dxa"/>
          <w:jc w:val="center"/>
        </w:trPr>
        <w:tc>
          <w:tcPr>
            <w:tcW w:w="555" w:type="dxa"/>
            <w:vAlign w:val="center"/>
          </w:tcPr>
          <w:p w14:paraId="3C4396C6" w14:textId="77777777" w:rsidR="003F5170" w:rsidRPr="0000747A" w:rsidRDefault="003F5170" w:rsidP="003F5170">
            <w:pPr>
              <w:pStyle w:val="Akapitzlist"/>
              <w:numPr>
                <w:ilvl w:val="0"/>
                <w:numId w:val="9"/>
              </w:numPr>
              <w:spacing w:before="120"/>
              <w:ind w:left="36" w:right="-534" w:firstLine="0"/>
              <w:rPr>
                <w:rFonts w:ascii="Times New Roman" w:hAnsi="Times New Roman" w:cs="Times New Roman"/>
                <w:b/>
                <w:sz w:val="20"/>
                <w:szCs w:val="20"/>
              </w:rPr>
            </w:pPr>
          </w:p>
        </w:tc>
        <w:tc>
          <w:tcPr>
            <w:tcW w:w="1567" w:type="dxa"/>
            <w:vAlign w:val="center"/>
          </w:tcPr>
          <w:p w14:paraId="07FBF0D1" w14:textId="7117B70A" w:rsidR="003F5170" w:rsidRPr="007A61C7" w:rsidRDefault="00DB17E6" w:rsidP="003F5170">
            <w:pPr>
              <w:rPr>
                <w:rFonts w:ascii="Times New Roman" w:hAnsi="Times New Roman" w:cs="Times New Roman"/>
                <w:sz w:val="20"/>
                <w:szCs w:val="20"/>
              </w:rPr>
            </w:pPr>
            <w:r w:rsidRPr="00DB17E6">
              <w:rPr>
                <w:rFonts w:ascii="Times New Roman" w:hAnsi="Times New Roman" w:cs="Times New Roman"/>
                <w:sz w:val="20"/>
                <w:szCs w:val="20"/>
              </w:rPr>
              <w:t>Art. 13 pkt 1 lit. b projektu w zakresie art. 17 ust. 1c ustawy zasiłkowej</w:t>
            </w:r>
          </w:p>
        </w:tc>
        <w:tc>
          <w:tcPr>
            <w:tcW w:w="1275" w:type="dxa"/>
            <w:vAlign w:val="center"/>
          </w:tcPr>
          <w:p w14:paraId="67522EF5" w14:textId="2F5D4A15" w:rsidR="003F5170" w:rsidRPr="007A61C7" w:rsidRDefault="00DB17E6" w:rsidP="003F5170">
            <w:pPr>
              <w:rPr>
                <w:rFonts w:ascii="Times New Roman" w:hAnsi="Times New Roman" w:cs="Times New Roman"/>
                <w:sz w:val="20"/>
                <w:szCs w:val="20"/>
              </w:rPr>
            </w:pPr>
            <w:r>
              <w:rPr>
                <w:rFonts w:ascii="Times New Roman" w:hAnsi="Times New Roman" w:cs="Times New Roman"/>
                <w:sz w:val="20"/>
                <w:szCs w:val="20"/>
              </w:rPr>
              <w:t>MF</w:t>
            </w:r>
          </w:p>
        </w:tc>
        <w:tc>
          <w:tcPr>
            <w:tcW w:w="5529" w:type="dxa"/>
            <w:vAlign w:val="center"/>
          </w:tcPr>
          <w:p w14:paraId="3016590C" w14:textId="77777777" w:rsidR="003F5170" w:rsidRDefault="00DB17E6" w:rsidP="003F5170">
            <w:pPr>
              <w:jc w:val="both"/>
              <w:rPr>
                <w:rFonts w:ascii="Times New Roman" w:hAnsi="Times New Roman" w:cs="Times New Roman"/>
                <w:sz w:val="20"/>
                <w:szCs w:val="20"/>
              </w:rPr>
            </w:pPr>
            <w:r w:rsidRPr="00DB17E6">
              <w:rPr>
                <w:rFonts w:ascii="Times New Roman" w:hAnsi="Times New Roman" w:cs="Times New Roman"/>
                <w:sz w:val="20"/>
                <w:szCs w:val="20"/>
              </w:rPr>
              <w:t xml:space="preserve">Projektowany art. 17 ust. 1c ustawy o świadczeniach pieniężnych z ubezpieczenia społecznego w razie choroby i macierzyństwa stanowi, że miejscem pobytu osoby korzystającej ze zwolnienia, wskazanym w zwolnieniu lub zawiadomieniu, może być adres pobytu w innym państwie. Jeżeli jest to państwo w którym istnieje możliwość przeprowadzenia kontroli na zlecenie ZUS (chodzi </w:t>
            </w:r>
            <w:r w:rsidRPr="00DB17E6">
              <w:rPr>
                <w:rFonts w:ascii="Times New Roman" w:hAnsi="Times New Roman" w:cs="Times New Roman"/>
                <w:sz w:val="20"/>
                <w:szCs w:val="20"/>
              </w:rPr>
              <w:lastRenderedPageBreak/>
              <w:t>głównie o państwa członkowskie UE), ubezpieczony nie musi spełniać żadnych dodatkowych warunków pobytu zagranicznego. Zwracamy uwagę, że przepis ten stanowi systemową zachętę do nadużyć i wykorzystywania zwolnień lekarskich, w celu turystycznych lub wypoczynkowych wyjazdów zagranicznych. Możliwość kontroli krótkoterminowych zwolnień lekarskich (np. 1-tygodniowych), spędzanych za granicą, jest w zasadzie iluzoryczna. Rekomenduję wycofanie się z tej regulacji, ewentualnie - ograniczenie jej do okoliczności ściśle określonych i możliwych do zweryfikowania (np. podjęcie leczenia możliwego tylko za granicą, szczególne wymogi dotyczące leczenia lub rehabilitacji określonego schorzenia, szczególnie uzasadnione względy życiowe). W takim przypadku konieczne byłoby wprowadzenie mechanizmu systemowego powiadamiania ZUS o wystawieniu zwolnienia lekarskiego, które świadczeniobiorca będzie spędzał poza granicami Polski – w celu szybkiej weryfikacji czy jest to w danych okolicznościach uzasadnione.</w:t>
            </w:r>
          </w:p>
          <w:p w14:paraId="40CDAD6B" w14:textId="77777777" w:rsidR="00DB17E6" w:rsidRDefault="00DB17E6" w:rsidP="003F5170">
            <w:pPr>
              <w:jc w:val="both"/>
              <w:rPr>
                <w:rFonts w:ascii="Times New Roman" w:hAnsi="Times New Roman" w:cs="Times New Roman"/>
                <w:sz w:val="20"/>
                <w:szCs w:val="20"/>
              </w:rPr>
            </w:pPr>
          </w:p>
          <w:p w14:paraId="61A5F9CD" w14:textId="376D28E1" w:rsidR="00DB17E6" w:rsidRDefault="00DB17E6" w:rsidP="003F5170">
            <w:pPr>
              <w:jc w:val="both"/>
              <w:rPr>
                <w:rFonts w:ascii="Times New Roman" w:hAnsi="Times New Roman" w:cs="Times New Roman"/>
                <w:b/>
                <w:bCs/>
                <w:sz w:val="20"/>
                <w:szCs w:val="20"/>
              </w:rPr>
            </w:pPr>
            <w:r w:rsidRPr="00DB17E6">
              <w:rPr>
                <w:rFonts w:ascii="Times New Roman" w:hAnsi="Times New Roman" w:cs="Times New Roman"/>
                <w:b/>
                <w:bCs/>
                <w:sz w:val="20"/>
                <w:szCs w:val="20"/>
              </w:rPr>
              <w:t>Ministerstwo Finansów podtrzymało powyższą uwagę:</w:t>
            </w:r>
          </w:p>
          <w:p w14:paraId="71C61FCB" w14:textId="2BDC62C5" w:rsidR="00DB17E6" w:rsidRPr="00DB17E6" w:rsidRDefault="00DB17E6" w:rsidP="003F5170">
            <w:pPr>
              <w:jc w:val="both"/>
              <w:rPr>
                <w:rFonts w:ascii="Times New Roman" w:hAnsi="Times New Roman" w:cs="Times New Roman"/>
                <w:sz w:val="20"/>
                <w:szCs w:val="20"/>
              </w:rPr>
            </w:pPr>
            <w:r w:rsidRPr="00DB17E6">
              <w:rPr>
                <w:rFonts w:ascii="Times New Roman" w:hAnsi="Times New Roman" w:cs="Times New Roman"/>
                <w:sz w:val="20"/>
                <w:szCs w:val="20"/>
              </w:rPr>
              <w:t>M</w:t>
            </w:r>
            <w:r w:rsidR="009D291F">
              <w:rPr>
                <w:rFonts w:ascii="Times New Roman" w:hAnsi="Times New Roman" w:cs="Times New Roman"/>
                <w:sz w:val="20"/>
                <w:szCs w:val="20"/>
              </w:rPr>
              <w:t>F</w:t>
            </w:r>
            <w:r w:rsidRPr="00DB17E6">
              <w:rPr>
                <w:rFonts w:ascii="Times New Roman" w:hAnsi="Times New Roman" w:cs="Times New Roman"/>
                <w:sz w:val="20"/>
                <w:szCs w:val="20"/>
              </w:rPr>
              <w:t xml:space="preserve"> podtrzymuje uwagę dotyczącą projektowanego art. 17 ust. 1c ustawy o świadczeniach pieniężnych z ubezpieczenia społecznego w razie choroby i macierzyństwa. Stanowi on, że: „Miejscem wskazanym w zwolnieniu lub zawiadomieniu może być adres pobytu w innym państwie, jeżeli uzasadnione to jest zaleceniami lekarza lub innymi istotnymi okolicznościami, chyba że Zakład Ubezpieczeń Społecznych ma możliwość zlecenia przeprowadzenia kontroli prawidłowości wykorzystywania zwolnienia w tym państwie na mocy przepisów odrębnych”. W ocenie </w:t>
            </w:r>
            <w:r w:rsidR="009D291F">
              <w:rPr>
                <w:rFonts w:ascii="Times New Roman" w:hAnsi="Times New Roman" w:cs="Times New Roman"/>
                <w:sz w:val="20"/>
                <w:szCs w:val="20"/>
              </w:rPr>
              <w:t>MF</w:t>
            </w:r>
            <w:r w:rsidRPr="00DB17E6">
              <w:rPr>
                <w:rFonts w:ascii="Times New Roman" w:hAnsi="Times New Roman" w:cs="Times New Roman"/>
                <w:sz w:val="20"/>
                <w:szCs w:val="20"/>
              </w:rPr>
              <w:t xml:space="preserve">, możliwość kontroli krótkoterminowych zwolnień lekarskich (np. 1-tygodniowych), spędzanych za granicą, jest ograniczona, co dotyczy również krajów Unii Europejskiej i EOG. Nie negując konieczności zachowania równowagi pomiędzy realizacją poszczególnych, konstytucyjnych praw obywatelskich, wskazuję jednak, że zagwarantowanie realnej możliwości kontroli wykorzystania zwolnienia lekarskiego nie może być uznane za naruszenie prawa do zabezpieczenia społecznego. W związku z powyższym MF stoi na stanowisku, że przesłanką wskazania miejsca pobytu poza granicami RP, w okresie orzeczonej niezdolności do pracy, powinno być – tak jak w obecnie </w:t>
            </w:r>
            <w:r w:rsidRPr="00DB17E6">
              <w:rPr>
                <w:rFonts w:ascii="Times New Roman" w:hAnsi="Times New Roman" w:cs="Times New Roman"/>
                <w:sz w:val="20"/>
                <w:szCs w:val="20"/>
              </w:rPr>
              <w:lastRenderedPageBreak/>
              <w:t xml:space="preserve">projektowanym przepisie - uzasadnienie lekarskie lub inne istotne okoliczności. Przesłanka ta winna jednak obowiązywać bez dodatkowych </w:t>
            </w:r>
            <w:proofErr w:type="spellStart"/>
            <w:r w:rsidRPr="00DB17E6">
              <w:rPr>
                <w:rFonts w:ascii="Times New Roman" w:hAnsi="Times New Roman" w:cs="Times New Roman"/>
                <w:sz w:val="20"/>
                <w:szCs w:val="20"/>
              </w:rPr>
              <w:t>wyłączeń</w:t>
            </w:r>
            <w:proofErr w:type="spellEnd"/>
            <w:r w:rsidRPr="00DB17E6">
              <w:rPr>
                <w:rFonts w:ascii="Times New Roman" w:hAnsi="Times New Roman" w:cs="Times New Roman"/>
                <w:sz w:val="20"/>
                <w:szCs w:val="20"/>
              </w:rPr>
              <w:t>, w odniesieniu do wszystkich krajów pobytu, a nie wyłącznie tzw. państw trzecich (rozumianych jako kraje spoza UE i EOG).</w:t>
            </w:r>
          </w:p>
          <w:p w14:paraId="56E04D36" w14:textId="1C9A2C66" w:rsidR="00DB17E6" w:rsidRDefault="00DB17E6" w:rsidP="003F5170">
            <w:pPr>
              <w:jc w:val="both"/>
              <w:rPr>
                <w:rFonts w:ascii="Times New Roman" w:hAnsi="Times New Roman" w:cs="Times New Roman"/>
                <w:sz w:val="20"/>
                <w:szCs w:val="20"/>
              </w:rPr>
            </w:pPr>
          </w:p>
        </w:tc>
        <w:tc>
          <w:tcPr>
            <w:tcW w:w="5812" w:type="dxa"/>
          </w:tcPr>
          <w:p w14:paraId="01ED80E5" w14:textId="77777777" w:rsidR="003F5170" w:rsidRDefault="009D291F" w:rsidP="003F5170">
            <w:pPr>
              <w:jc w:val="both"/>
              <w:rPr>
                <w:rFonts w:ascii="Times New Roman" w:hAnsi="Times New Roman" w:cs="Times New Roman"/>
                <w:sz w:val="20"/>
                <w:szCs w:val="20"/>
              </w:rPr>
            </w:pPr>
            <w:r>
              <w:rPr>
                <w:rFonts w:ascii="Times New Roman" w:hAnsi="Times New Roman" w:cs="Times New Roman"/>
                <w:sz w:val="20"/>
                <w:szCs w:val="20"/>
              </w:rPr>
              <w:lastRenderedPageBreak/>
              <w:t>N</w:t>
            </w:r>
            <w:r w:rsidRPr="009D291F">
              <w:rPr>
                <w:rFonts w:ascii="Times New Roman" w:hAnsi="Times New Roman" w:cs="Times New Roman"/>
                <w:sz w:val="20"/>
                <w:szCs w:val="20"/>
              </w:rPr>
              <w:t xml:space="preserve">ależy wskazać, że aktualnie obowiązujące regulacje prawne oraz techniczne możliwości oprogramowania elektronicznych zwolnień lekarskich (e-ZLA), w żaden sposób nie ograniczają możliwości podania w zwolnieniu lekarskim adresu zagranicznego jako adresu miejsca pobytu osoby korzystającej z tego zwolnienia. Jednocześnie </w:t>
            </w:r>
            <w:r w:rsidRPr="009D291F">
              <w:rPr>
                <w:rFonts w:ascii="Times New Roman" w:hAnsi="Times New Roman" w:cs="Times New Roman"/>
                <w:sz w:val="20"/>
                <w:szCs w:val="20"/>
              </w:rPr>
              <w:lastRenderedPageBreak/>
              <w:t xml:space="preserve">za pośrednictwem przedmiotowego narzędzia </w:t>
            </w:r>
            <w:r>
              <w:rPr>
                <w:rFonts w:ascii="Times New Roman" w:hAnsi="Times New Roman" w:cs="Times New Roman"/>
                <w:sz w:val="20"/>
                <w:szCs w:val="20"/>
              </w:rPr>
              <w:t>ZUS</w:t>
            </w:r>
            <w:r w:rsidRPr="009D291F">
              <w:rPr>
                <w:rFonts w:ascii="Times New Roman" w:hAnsi="Times New Roman" w:cs="Times New Roman"/>
                <w:sz w:val="20"/>
                <w:szCs w:val="20"/>
              </w:rPr>
              <w:t xml:space="preserve"> natychmiast dysponuje wiedzą o tych zwolnieniach.</w:t>
            </w:r>
          </w:p>
          <w:p w14:paraId="525913F3" w14:textId="77777777" w:rsidR="009D291F" w:rsidRDefault="009D291F" w:rsidP="003F5170">
            <w:pPr>
              <w:jc w:val="both"/>
              <w:rPr>
                <w:rFonts w:ascii="Times New Roman" w:hAnsi="Times New Roman" w:cs="Times New Roman"/>
                <w:sz w:val="20"/>
                <w:szCs w:val="20"/>
              </w:rPr>
            </w:pPr>
          </w:p>
          <w:p w14:paraId="3B760902" w14:textId="77777777" w:rsidR="009D291F" w:rsidRDefault="009D291F" w:rsidP="003F5170">
            <w:pPr>
              <w:jc w:val="both"/>
              <w:rPr>
                <w:rFonts w:ascii="Times New Roman" w:hAnsi="Times New Roman" w:cs="Times New Roman"/>
                <w:sz w:val="20"/>
                <w:szCs w:val="20"/>
              </w:rPr>
            </w:pPr>
            <w:r w:rsidRPr="009D291F">
              <w:rPr>
                <w:rFonts w:ascii="Times New Roman" w:hAnsi="Times New Roman" w:cs="Times New Roman"/>
                <w:sz w:val="20"/>
                <w:szCs w:val="20"/>
              </w:rPr>
              <w:t xml:space="preserve">W świetle powyższego, projektowana treść art. 17 ust. 1c ustawy zasiłkowej stanowi odpowiedź na całkowitą dowolność w tym zakresie. Celem proponowanej regulacji jest określenie akceptowalnych przez ustawodawcę ram prawnych tego uprawnienia, przy czym dopuszczalne granice władczej ingerencji w tym przypadku są wyznaczane przez art. 52 oraz art. 67 Konstytucji RP. Zagwarantowana konstytucyjnie wolność przemieszczania się nie może być bowiem ograniczana przez ryzyko utraty innego konstytucyjnego uprawnienia, tj. prawa do zabezpieczenia społecznego. Każdy obywatel ma prawo do korzystania z obu tych wolności i ustawodawca powinien tworzyć warunki do ich jak najpełniejszej realizacji zwłaszcza w sytuacji, gdy z uwagi na różne uwarunkowania mogą one być traktowane jako prawa względem siebie konkurencyjne. </w:t>
            </w:r>
          </w:p>
          <w:p w14:paraId="6C303EBE" w14:textId="77777777" w:rsidR="009D291F" w:rsidRDefault="009D291F" w:rsidP="003F5170">
            <w:pPr>
              <w:jc w:val="both"/>
              <w:rPr>
                <w:rFonts w:ascii="Times New Roman" w:hAnsi="Times New Roman" w:cs="Times New Roman"/>
                <w:sz w:val="20"/>
                <w:szCs w:val="20"/>
              </w:rPr>
            </w:pPr>
          </w:p>
          <w:p w14:paraId="73589F17" w14:textId="6010C814" w:rsidR="009D291F" w:rsidRDefault="009D291F" w:rsidP="003F5170">
            <w:pPr>
              <w:jc w:val="both"/>
              <w:rPr>
                <w:rFonts w:ascii="Times New Roman" w:hAnsi="Times New Roman" w:cs="Times New Roman"/>
                <w:sz w:val="20"/>
                <w:szCs w:val="20"/>
              </w:rPr>
            </w:pPr>
            <w:r w:rsidRPr="009D291F">
              <w:rPr>
                <w:rFonts w:ascii="Times New Roman" w:hAnsi="Times New Roman" w:cs="Times New Roman"/>
                <w:sz w:val="20"/>
                <w:szCs w:val="20"/>
              </w:rPr>
              <w:t xml:space="preserve">Proponowane przez </w:t>
            </w:r>
            <w:proofErr w:type="spellStart"/>
            <w:r>
              <w:rPr>
                <w:rFonts w:ascii="Times New Roman" w:hAnsi="Times New Roman" w:cs="Times New Roman"/>
                <w:sz w:val="20"/>
                <w:szCs w:val="20"/>
              </w:rPr>
              <w:t>MRPiPS</w:t>
            </w:r>
            <w:proofErr w:type="spellEnd"/>
            <w:r w:rsidRPr="009D291F">
              <w:rPr>
                <w:rFonts w:ascii="Times New Roman" w:hAnsi="Times New Roman" w:cs="Times New Roman"/>
                <w:sz w:val="20"/>
                <w:szCs w:val="20"/>
              </w:rPr>
              <w:t xml:space="preserve"> rozwiązanie jest zatem formą kompromisu pomiędzy potrzebą zagwarantowania obywatelom konstytucyjnych praw i wolności a koniecznością władczej w nie ingerencji. W związku z tym, że żaden przepis prawa powszechnie obowiązującego nie wyłącza obecnie możliwości podania jako adresu pobytu adresu zagranicznego, a w konsekwencji – mimo zastrzeżeń – jest to dopuszczalne, proponowana zmiana uwzględnia – w konstytucyjnych ramach – kierunek postulowany przez Ministerstwo Finansów. </w:t>
            </w:r>
          </w:p>
          <w:p w14:paraId="7D9B3C50" w14:textId="77777777" w:rsidR="009D291F" w:rsidRDefault="009D291F" w:rsidP="003F5170">
            <w:pPr>
              <w:jc w:val="both"/>
              <w:rPr>
                <w:rFonts w:ascii="Times New Roman" w:hAnsi="Times New Roman" w:cs="Times New Roman"/>
                <w:sz w:val="20"/>
                <w:szCs w:val="20"/>
              </w:rPr>
            </w:pPr>
          </w:p>
          <w:p w14:paraId="75FEF325" w14:textId="397E862F" w:rsidR="009D291F" w:rsidRPr="007A61C7" w:rsidRDefault="009D291F" w:rsidP="003F5170">
            <w:pPr>
              <w:jc w:val="both"/>
              <w:rPr>
                <w:rFonts w:ascii="Times New Roman" w:hAnsi="Times New Roman" w:cs="Times New Roman"/>
                <w:sz w:val="20"/>
                <w:szCs w:val="20"/>
              </w:rPr>
            </w:pPr>
            <w:r w:rsidRPr="009D291F">
              <w:rPr>
                <w:rFonts w:ascii="Times New Roman" w:hAnsi="Times New Roman" w:cs="Times New Roman"/>
                <w:sz w:val="20"/>
                <w:szCs w:val="20"/>
              </w:rPr>
              <w:t>W związku z powyższym</w:t>
            </w:r>
            <w:r w:rsidR="003C6BED">
              <w:rPr>
                <w:rFonts w:ascii="Times New Roman" w:hAnsi="Times New Roman" w:cs="Times New Roman"/>
                <w:sz w:val="20"/>
                <w:szCs w:val="20"/>
              </w:rPr>
              <w:t xml:space="preserve"> </w:t>
            </w:r>
            <w:proofErr w:type="spellStart"/>
            <w:r w:rsidR="003C6BED">
              <w:rPr>
                <w:rFonts w:ascii="Times New Roman" w:hAnsi="Times New Roman" w:cs="Times New Roman"/>
                <w:sz w:val="20"/>
                <w:szCs w:val="20"/>
              </w:rPr>
              <w:t>MRPiPS</w:t>
            </w:r>
            <w:proofErr w:type="spellEnd"/>
            <w:r w:rsidRPr="009D291F">
              <w:rPr>
                <w:rFonts w:ascii="Times New Roman" w:hAnsi="Times New Roman" w:cs="Times New Roman"/>
                <w:sz w:val="20"/>
                <w:szCs w:val="20"/>
              </w:rPr>
              <w:t xml:space="preserve"> podtrzymuj</w:t>
            </w:r>
            <w:r w:rsidR="003C6BED">
              <w:rPr>
                <w:rFonts w:ascii="Times New Roman" w:hAnsi="Times New Roman" w:cs="Times New Roman"/>
                <w:sz w:val="20"/>
                <w:szCs w:val="20"/>
              </w:rPr>
              <w:t>e</w:t>
            </w:r>
            <w:r w:rsidRPr="009D291F">
              <w:rPr>
                <w:rFonts w:ascii="Times New Roman" w:hAnsi="Times New Roman" w:cs="Times New Roman"/>
                <w:sz w:val="20"/>
                <w:szCs w:val="20"/>
              </w:rPr>
              <w:t xml:space="preserve"> konieczność zachowania w projekcie ustawy art. 17 ust. 1c w projektowanym brzmieniu.</w:t>
            </w:r>
          </w:p>
        </w:tc>
      </w:tr>
      <w:bookmarkEnd w:id="0"/>
      <w:tr w:rsidR="003F5170" w:rsidRPr="00AC5114" w14:paraId="6E927E97" w14:textId="77777777" w:rsidTr="00456A6B">
        <w:trPr>
          <w:gridAfter w:val="1"/>
          <w:wAfter w:w="20" w:type="dxa"/>
          <w:trHeight w:val="6223"/>
          <w:jc w:val="center"/>
        </w:trPr>
        <w:tc>
          <w:tcPr>
            <w:tcW w:w="555" w:type="dxa"/>
            <w:vAlign w:val="center"/>
          </w:tcPr>
          <w:p w14:paraId="7638AF9B" w14:textId="77777777" w:rsidR="003F5170" w:rsidRPr="00AC5114" w:rsidRDefault="003F5170" w:rsidP="003F5170">
            <w:pPr>
              <w:pStyle w:val="Akapitzlist"/>
              <w:numPr>
                <w:ilvl w:val="0"/>
                <w:numId w:val="9"/>
              </w:numPr>
              <w:spacing w:before="120"/>
              <w:ind w:left="36" w:right="-534" w:firstLine="0"/>
              <w:rPr>
                <w:rFonts w:ascii="Arial" w:hAnsi="Arial" w:cs="Arial"/>
                <w:b/>
                <w:sz w:val="20"/>
                <w:szCs w:val="20"/>
              </w:rPr>
            </w:pPr>
          </w:p>
        </w:tc>
        <w:tc>
          <w:tcPr>
            <w:tcW w:w="1567" w:type="dxa"/>
            <w:vAlign w:val="center"/>
          </w:tcPr>
          <w:p w14:paraId="77B5B681" w14:textId="4D7C4337" w:rsidR="003F5170" w:rsidRPr="007A61C7" w:rsidRDefault="00507B63" w:rsidP="003F5170">
            <w:pPr>
              <w:rPr>
                <w:rFonts w:ascii="Times New Roman" w:hAnsi="Times New Roman" w:cs="Times New Roman"/>
                <w:sz w:val="20"/>
                <w:szCs w:val="20"/>
              </w:rPr>
            </w:pPr>
            <w:r>
              <w:rPr>
                <w:rFonts w:ascii="Times New Roman" w:hAnsi="Times New Roman" w:cs="Times New Roman"/>
                <w:sz w:val="20"/>
                <w:szCs w:val="20"/>
              </w:rPr>
              <w:t>Pkt 4, 6 i 7</w:t>
            </w:r>
            <w:r w:rsidR="00456A6B">
              <w:rPr>
                <w:rFonts w:ascii="Times New Roman" w:hAnsi="Times New Roman" w:cs="Times New Roman"/>
                <w:sz w:val="20"/>
                <w:szCs w:val="20"/>
              </w:rPr>
              <w:t xml:space="preserve"> OSR</w:t>
            </w:r>
          </w:p>
        </w:tc>
        <w:tc>
          <w:tcPr>
            <w:tcW w:w="1275" w:type="dxa"/>
            <w:vAlign w:val="center"/>
          </w:tcPr>
          <w:p w14:paraId="112773F8" w14:textId="0481DFA8" w:rsidR="003F5170" w:rsidRPr="007A61C7" w:rsidRDefault="00125990" w:rsidP="003F5170">
            <w:pPr>
              <w:rPr>
                <w:rFonts w:ascii="Times New Roman" w:hAnsi="Times New Roman" w:cs="Times New Roman"/>
                <w:sz w:val="20"/>
                <w:szCs w:val="20"/>
              </w:rPr>
            </w:pPr>
            <w:r w:rsidRPr="00125990">
              <w:rPr>
                <w:rFonts w:ascii="Times New Roman" w:hAnsi="Times New Roman" w:cs="Times New Roman"/>
                <w:sz w:val="20"/>
                <w:szCs w:val="20"/>
              </w:rPr>
              <w:t>MS</w:t>
            </w:r>
          </w:p>
        </w:tc>
        <w:tc>
          <w:tcPr>
            <w:tcW w:w="5529" w:type="dxa"/>
            <w:vAlign w:val="center"/>
          </w:tcPr>
          <w:p w14:paraId="0FC861EF" w14:textId="6C6D3E43" w:rsidR="00507B63" w:rsidRPr="00507B63" w:rsidRDefault="00507B63" w:rsidP="00507B63">
            <w:pPr>
              <w:jc w:val="both"/>
              <w:rPr>
                <w:rFonts w:ascii="Times New Roman" w:hAnsi="Times New Roman" w:cs="Times New Roman"/>
                <w:sz w:val="20"/>
                <w:szCs w:val="20"/>
              </w:rPr>
            </w:pPr>
            <w:r w:rsidRPr="00507B63">
              <w:rPr>
                <w:rFonts w:ascii="Times New Roman" w:hAnsi="Times New Roman" w:cs="Times New Roman"/>
                <w:sz w:val="20"/>
                <w:szCs w:val="20"/>
              </w:rPr>
              <w:t xml:space="preserve">Projektodawca w wyniku poszerzenia katalogu decyzji </w:t>
            </w:r>
            <w:r w:rsidR="009D291F">
              <w:rPr>
                <w:rFonts w:ascii="Times New Roman" w:hAnsi="Times New Roman" w:cs="Times New Roman"/>
                <w:sz w:val="20"/>
                <w:szCs w:val="20"/>
              </w:rPr>
              <w:t>ZUS</w:t>
            </w:r>
            <w:r w:rsidRPr="00507B63">
              <w:rPr>
                <w:rFonts w:ascii="Times New Roman" w:hAnsi="Times New Roman" w:cs="Times New Roman"/>
                <w:sz w:val="20"/>
                <w:szCs w:val="20"/>
              </w:rPr>
              <w:t xml:space="preserve"> o skierowanie na rehabilitacją leczniczą w ramach prewencji rentowej przewidziane w projektowanym art. 83 ust. 1 pkt 6 ustawy zmienianej w art. 1 projektu, od których służą odwołania do właściwego sądu, rozszerzył zakres kognicji sądów powszechnych o rozstrzyganie w sprawach </w:t>
            </w:r>
            <w:proofErr w:type="spellStart"/>
            <w:r w:rsidRPr="00507B63">
              <w:rPr>
                <w:rFonts w:ascii="Times New Roman" w:hAnsi="Times New Roman" w:cs="Times New Roman"/>
                <w:sz w:val="20"/>
                <w:szCs w:val="20"/>
              </w:rPr>
              <w:t>odwołań</w:t>
            </w:r>
            <w:proofErr w:type="spellEnd"/>
            <w:r w:rsidRPr="00507B63">
              <w:rPr>
                <w:rFonts w:ascii="Times New Roman" w:hAnsi="Times New Roman" w:cs="Times New Roman"/>
                <w:sz w:val="20"/>
                <w:szCs w:val="20"/>
              </w:rPr>
              <w:t xml:space="preserve"> od tych decyzji. Biorąc pod uwagą dane zamieszczone w OSR, że na około 71 000 wniosków o rehabilitacją, negatywnie rozpatrzono: 1 200 wniosków (odmowy formalne) i 21 800 wniosków (odmowy orzecznicze), niezbędne dla wejścia w życie zaproponowanej regulacji jest pozyskanie kadry orzeczniczej i urzędniczej. W zakresie ograniczonym do niezbędnego minimum niezbędnym jest pozyskanie co najmniej: 59 etatów sędziowskich, 59 asystenckich i 118 urzędniczych. Trafiłyby one – w proporcji:</w:t>
            </w:r>
          </w:p>
          <w:p w14:paraId="1561DAA1" w14:textId="77777777" w:rsidR="00507B63" w:rsidRPr="00507B63" w:rsidRDefault="00507B63" w:rsidP="00507B63">
            <w:pPr>
              <w:jc w:val="both"/>
              <w:rPr>
                <w:rFonts w:ascii="Times New Roman" w:hAnsi="Times New Roman" w:cs="Times New Roman"/>
                <w:sz w:val="20"/>
                <w:szCs w:val="20"/>
              </w:rPr>
            </w:pPr>
            <w:r w:rsidRPr="00507B63">
              <w:rPr>
                <w:rFonts w:ascii="Times New Roman" w:hAnsi="Times New Roman" w:cs="Times New Roman"/>
                <w:sz w:val="20"/>
                <w:szCs w:val="20"/>
              </w:rPr>
              <w:t>a) do pionu pracy i ubezpieczeń społecznych na szczeblu sądów okręgowych – 12 etatów sędziowskich, 12 etatów asystenckich oraz 24 etaty urzędnicze, do sądów okręgowych (w proporcji 1:1:2) posiadających siedzibą w miastach, w których siedziby posiadają również sądy apelacyjne (w Warszawie znajdują sią dwa sądy okręgowe),</w:t>
            </w:r>
          </w:p>
          <w:p w14:paraId="660D0CEE" w14:textId="77777777" w:rsidR="00507B63" w:rsidRPr="00507B63" w:rsidRDefault="00507B63" w:rsidP="00507B63">
            <w:pPr>
              <w:jc w:val="both"/>
              <w:rPr>
                <w:rFonts w:ascii="Times New Roman" w:hAnsi="Times New Roman" w:cs="Times New Roman"/>
                <w:sz w:val="20"/>
                <w:szCs w:val="20"/>
              </w:rPr>
            </w:pPr>
            <w:r w:rsidRPr="00507B63">
              <w:rPr>
                <w:rFonts w:ascii="Times New Roman" w:hAnsi="Times New Roman" w:cs="Times New Roman"/>
                <w:sz w:val="20"/>
                <w:szCs w:val="20"/>
              </w:rPr>
              <w:t xml:space="preserve">b) do pionu pracy i ubezpieczeń społecznych na szczeblu sądów rejonowych – 47 etatów sędziowskich, 47 etatów asystenckich oraz 94 etaty urzędnicze, do najbardziej obciążonych sądów rejonowych (w proporcji 1:1:2) posiadających siedzibą w miastach, w których siedziby posiadają również sądy apelacyjne. </w:t>
            </w:r>
          </w:p>
          <w:p w14:paraId="402FD46F" w14:textId="77777777" w:rsidR="00507B63" w:rsidRDefault="00507B63" w:rsidP="00507B63">
            <w:pPr>
              <w:jc w:val="both"/>
              <w:rPr>
                <w:rFonts w:ascii="Times New Roman" w:hAnsi="Times New Roman" w:cs="Times New Roman"/>
                <w:sz w:val="20"/>
                <w:szCs w:val="20"/>
              </w:rPr>
            </w:pPr>
          </w:p>
          <w:p w14:paraId="1DB5FA61" w14:textId="109BB307" w:rsidR="00507B63" w:rsidRPr="00507B63" w:rsidRDefault="00507B63" w:rsidP="00507B63">
            <w:pPr>
              <w:jc w:val="both"/>
              <w:rPr>
                <w:rFonts w:ascii="Times New Roman" w:hAnsi="Times New Roman" w:cs="Times New Roman"/>
                <w:sz w:val="20"/>
                <w:szCs w:val="20"/>
              </w:rPr>
            </w:pPr>
            <w:r w:rsidRPr="00507B63">
              <w:rPr>
                <w:rFonts w:ascii="Times New Roman" w:hAnsi="Times New Roman" w:cs="Times New Roman"/>
                <w:sz w:val="20"/>
                <w:szCs w:val="20"/>
              </w:rPr>
              <w:t xml:space="preserve">Wejście w życie projektowanego aktu prawnego spowoduje w roku 2026 skutki finansowe dla budżetu państwa w części 15 Sądy powszechne w łącznej wysokości 42 136 924 zł. Podkreślić w tym miejscu należy, że powyższe etaty stanowią najbardziej niezbędne potrzeby i są konieczne dla zachowania sprawności postępowania na wskazanych szczeblach sądownictwa powszechnego, albowiem </w:t>
            </w:r>
            <w:r w:rsidRPr="00507B63">
              <w:rPr>
                <w:rFonts w:ascii="Times New Roman" w:hAnsi="Times New Roman" w:cs="Times New Roman"/>
                <w:sz w:val="20"/>
                <w:szCs w:val="20"/>
              </w:rPr>
              <w:lastRenderedPageBreak/>
              <w:t xml:space="preserve">specyfika spraw objętych treścią omawianej regulacji powoduje wymóg ich szybkiego rozpoznania. </w:t>
            </w:r>
          </w:p>
          <w:p w14:paraId="69530EA3" w14:textId="77777777" w:rsidR="00507B63" w:rsidRPr="00507B63" w:rsidRDefault="00507B63" w:rsidP="00507B63">
            <w:pPr>
              <w:jc w:val="both"/>
              <w:rPr>
                <w:rFonts w:ascii="Times New Roman" w:hAnsi="Times New Roman" w:cs="Times New Roman"/>
                <w:sz w:val="20"/>
                <w:szCs w:val="20"/>
              </w:rPr>
            </w:pPr>
            <w:r w:rsidRPr="00507B63">
              <w:rPr>
                <w:rFonts w:ascii="Times New Roman" w:hAnsi="Times New Roman" w:cs="Times New Roman"/>
                <w:sz w:val="20"/>
                <w:szCs w:val="20"/>
              </w:rPr>
              <w:t xml:space="preserve">W pkt 4 OSR Podmioty, na które oddziałuje projekt w kolumnie Grupa należy dodać sądownictwo powszechne, w kolumnie Wielkość Stan na 30.06.2024 r.: - 11 sądów apelacyjnych, 47 sądów okręgowych i 319 sądów rejonowych, w kolumnie źródło danych – informacja ogólnodostępna, w kolumnie Oddziaływanie – wzrost liczby spraw trafiających do sądów. Podobnie należy uzupełnić pkt 7. </w:t>
            </w:r>
          </w:p>
          <w:p w14:paraId="7F38BE93" w14:textId="77777777" w:rsidR="003F5170" w:rsidRDefault="00507B63" w:rsidP="00507B63">
            <w:pPr>
              <w:jc w:val="both"/>
              <w:rPr>
                <w:rFonts w:ascii="Times New Roman" w:hAnsi="Times New Roman" w:cs="Times New Roman"/>
                <w:sz w:val="20"/>
                <w:szCs w:val="20"/>
              </w:rPr>
            </w:pPr>
            <w:r w:rsidRPr="00507B63">
              <w:rPr>
                <w:rFonts w:ascii="Times New Roman" w:hAnsi="Times New Roman" w:cs="Times New Roman"/>
                <w:sz w:val="20"/>
                <w:szCs w:val="20"/>
              </w:rPr>
              <w:t>Dane w pkt 6 OSR Wpływ na sektor finansów publicznych, należy uzupełnić stosownie do ww. wyrażonej uwagi.</w:t>
            </w:r>
          </w:p>
          <w:p w14:paraId="319E5D5F" w14:textId="77777777" w:rsidR="00507B63" w:rsidRDefault="00507B63" w:rsidP="00507B63">
            <w:pPr>
              <w:jc w:val="both"/>
              <w:rPr>
                <w:rFonts w:ascii="Times New Roman" w:hAnsi="Times New Roman" w:cs="Times New Roman"/>
                <w:sz w:val="20"/>
                <w:szCs w:val="20"/>
              </w:rPr>
            </w:pPr>
          </w:p>
          <w:p w14:paraId="2370C700" w14:textId="24F4BDA6" w:rsidR="00507B63" w:rsidRPr="00507B63" w:rsidRDefault="00507B63" w:rsidP="00507B63">
            <w:pPr>
              <w:jc w:val="both"/>
              <w:rPr>
                <w:rFonts w:ascii="Times New Roman" w:hAnsi="Times New Roman" w:cs="Times New Roman"/>
                <w:b/>
                <w:bCs/>
                <w:sz w:val="20"/>
                <w:szCs w:val="20"/>
              </w:rPr>
            </w:pPr>
            <w:r w:rsidRPr="00507B63">
              <w:rPr>
                <w:rFonts w:ascii="Times New Roman" w:hAnsi="Times New Roman" w:cs="Times New Roman"/>
                <w:b/>
                <w:bCs/>
                <w:sz w:val="20"/>
                <w:szCs w:val="20"/>
              </w:rPr>
              <w:t>Ministerstwo Sprawiedliwości</w:t>
            </w:r>
            <w:r w:rsidRPr="00507B63">
              <w:rPr>
                <w:rFonts w:ascii="Times New Roman" w:hAnsi="Times New Roman" w:cs="Times New Roman"/>
                <w:b/>
                <w:bCs/>
                <w:sz w:val="20"/>
                <w:szCs w:val="20"/>
              </w:rPr>
              <w:t xml:space="preserve"> podtrzymał</w:t>
            </w:r>
            <w:r w:rsidRPr="00507B63">
              <w:rPr>
                <w:rFonts w:ascii="Times New Roman" w:hAnsi="Times New Roman" w:cs="Times New Roman"/>
                <w:b/>
                <w:bCs/>
                <w:sz w:val="20"/>
                <w:szCs w:val="20"/>
              </w:rPr>
              <w:t>o</w:t>
            </w:r>
            <w:r w:rsidRPr="00507B63">
              <w:rPr>
                <w:rFonts w:ascii="Times New Roman" w:hAnsi="Times New Roman" w:cs="Times New Roman"/>
                <w:b/>
                <w:bCs/>
                <w:sz w:val="20"/>
                <w:szCs w:val="20"/>
              </w:rPr>
              <w:t xml:space="preserve"> powyższą uwagę:</w:t>
            </w:r>
          </w:p>
          <w:p w14:paraId="0E142D9B" w14:textId="77777777" w:rsidR="00507B63" w:rsidRDefault="00507B63" w:rsidP="00507B63">
            <w:pPr>
              <w:jc w:val="both"/>
              <w:rPr>
                <w:rFonts w:ascii="Times New Roman" w:hAnsi="Times New Roman" w:cs="Times New Roman"/>
                <w:sz w:val="20"/>
                <w:szCs w:val="20"/>
              </w:rPr>
            </w:pPr>
            <w:r w:rsidRPr="00507B63">
              <w:rPr>
                <w:rFonts w:ascii="Times New Roman" w:hAnsi="Times New Roman" w:cs="Times New Roman"/>
                <w:sz w:val="20"/>
                <w:szCs w:val="20"/>
              </w:rPr>
              <w:t xml:space="preserve">Projektowane zapisy – co jest bezsporne – rozszerzają katalog rozstrzygnięć wydawanych przez </w:t>
            </w:r>
            <w:r>
              <w:rPr>
                <w:rFonts w:ascii="Times New Roman" w:hAnsi="Times New Roman" w:cs="Times New Roman"/>
                <w:sz w:val="20"/>
                <w:szCs w:val="20"/>
              </w:rPr>
              <w:t>ZUS</w:t>
            </w:r>
            <w:r w:rsidRPr="00507B63">
              <w:rPr>
                <w:rFonts w:ascii="Times New Roman" w:hAnsi="Times New Roman" w:cs="Times New Roman"/>
                <w:sz w:val="20"/>
                <w:szCs w:val="20"/>
              </w:rPr>
              <w:t xml:space="preserve">, od których przysługuje odwołanie do sądu. Oczywistym jest więc, że liczba spraw, które trafią do sądów będzie większa. </w:t>
            </w:r>
          </w:p>
          <w:p w14:paraId="545F08B4" w14:textId="64B08E7C" w:rsidR="00507B63" w:rsidRDefault="00507B63" w:rsidP="00507B63">
            <w:pPr>
              <w:jc w:val="both"/>
              <w:rPr>
                <w:rFonts w:ascii="Times New Roman" w:hAnsi="Times New Roman" w:cs="Times New Roman"/>
                <w:sz w:val="20"/>
                <w:szCs w:val="20"/>
              </w:rPr>
            </w:pPr>
            <w:r w:rsidRPr="00507B63">
              <w:rPr>
                <w:rFonts w:ascii="Times New Roman" w:hAnsi="Times New Roman" w:cs="Times New Roman"/>
                <w:sz w:val="20"/>
                <w:szCs w:val="20"/>
              </w:rPr>
              <w:t xml:space="preserve">Nietrafny jest wniosek wyrażony w piśmie </w:t>
            </w:r>
            <w:proofErr w:type="spellStart"/>
            <w:r>
              <w:rPr>
                <w:rFonts w:ascii="Times New Roman" w:hAnsi="Times New Roman" w:cs="Times New Roman"/>
                <w:sz w:val="20"/>
                <w:szCs w:val="20"/>
              </w:rPr>
              <w:t>MRPiPS</w:t>
            </w:r>
            <w:proofErr w:type="spellEnd"/>
            <w:r w:rsidRPr="00507B63">
              <w:rPr>
                <w:rFonts w:ascii="Times New Roman" w:hAnsi="Times New Roman" w:cs="Times New Roman"/>
                <w:sz w:val="20"/>
                <w:szCs w:val="20"/>
              </w:rPr>
              <w:t xml:space="preserve">, że „rozszerzenie katalogu rozstrzygnięć wydawanych przez </w:t>
            </w:r>
            <w:r>
              <w:rPr>
                <w:rFonts w:ascii="Times New Roman" w:hAnsi="Times New Roman" w:cs="Times New Roman"/>
                <w:sz w:val="20"/>
                <w:szCs w:val="20"/>
              </w:rPr>
              <w:t>ZUS</w:t>
            </w:r>
            <w:r w:rsidRPr="00507B63">
              <w:rPr>
                <w:rFonts w:ascii="Times New Roman" w:hAnsi="Times New Roman" w:cs="Times New Roman"/>
                <w:sz w:val="20"/>
                <w:szCs w:val="20"/>
              </w:rPr>
              <w:t xml:space="preserve">, od których przysługuje odwołanie, o decyzję o skierowaniu na rehabilitację leczniczą w ramach prewencji rentowej, nie powinno zatem spowodować ponadnormatywnego obciążenia pracą sądów. Ponieważ przepisy Kodeksu postępowania cywilnego nie określają czasu rozpoznania spraw (brak jest terminów w tym zakresie), ewentualną konsekwencją zwiększonego obciążenia pracą może być jedynie wydłużenie czasookresu ich rozpoznania.” Należy jeszcze raz podkreślić, że rozszerzenie katalogu rozstrzygnięć wydawanych przez </w:t>
            </w:r>
            <w:r>
              <w:rPr>
                <w:rFonts w:ascii="Times New Roman" w:hAnsi="Times New Roman" w:cs="Times New Roman"/>
                <w:sz w:val="20"/>
                <w:szCs w:val="20"/>
              </w:rPr>
              <w:t>ZUS</w:t>
            </w:r>
            <w:r w:rsidRPr="00507B63">
              <w:rPr>
                <w:rFonts w:ascii="Times New Roman" w:hAnsi="Times New Roman" w:cs="Times New Roman"/>
                <w:sz w:val="20"/>
                <w:szCs w:val="20"/>
              </w:rPr>
              <w:t xml:space="preserve">, od których przysługuje odwołanie zwiększa obciążenia sądów. Mając na uwadze, że w przedmiotowym przypadku rozstrzygnięcia dotyczą decyzji o skierowaniu na rehabilitację leczniczą w ramach prewencji rentowej, to sprawy tego rodzaju powinny być rozpoznawane szybko i bez opóźnień. Fakt, że przepisy nie określają terminu rozpoznania jakiegoś typu spraw nie oznacza bowiem, że mogą być one rozpoznawane bez jakichkolwiek rygorów czasowych. Takim praktykom przeciwdziałać mają uregulowania zawarte w ustawie o skardze na naruszenie prawa strony do rozpoznania sprawy w postępowaniu przygotowawczym prowadzonym lub nadzorowanym przez prokuratora i postępowaniu sądowym bez  </w:t>
            </w:r>
            <w:r w:rsidRPr="00507B63">
              <w:rPr>
                <w:rFonts w:ascii="Times New Roman" w:hAnsi="Times New Roman" w:cs="Times New Roman"/>
                <w:sz w:val="20"/>
                <w:szCs w:val="20"/>
              </w:rPr>
              <w:lastRenderedPageBreak/>
              <w:t>nieuzasadnionej zwłoki. Godząc się zatem na wydłużenie czasu postępowań w sprawach naraża się Skarb Państwa na ponoszenie konsekwencji finansowych takich działań. Przede wszystkim jednak uzyskanie korzystnego orzeczenia w sprawie odwołania od decyzji o skierowaniu na rehabilitację leczniczą w ramach prewencji rentowej po roku czy dwóch w zasadzie przekreśla cel projektowanej regulacji. Pomimo poniesienia nakładu pracy (organ rentowy i sąd) i środków (również na opinie biegłych, których niemałe koszty pokrywa w sprawach z zakresu ubezpieczeń społecznych Skarb Państwa), nawet w przypadku korzystnego rozstrzygnięcia sprawy, ubezpieczony nie otrzymuje ochrony s</w:t>
            </w:r>
            <w:r w:rsidR="00DB17E6">
              <w:rPr>
                <w:rFonts w:ascii="Times New Roman" w:hAnsi="Times New Roman" w:cs="Times New Roman"/>
                <w:sz w:val="20"/>
                <w:szCs w:val="20"/>
              </w:rPr>
              <w:t>ą</w:t>
            </w:r>
            <w:r w:rsidRPr="00507B63">
              <w:rPr>
                <w:rFonts w:ascii="Times New Roman" w:hAnsi="Times New Roman" w:cs="Times New Roman"/>
                <w:sz w:val="20"/>
                <w:szCs w:val="20"/>
              </w:rPr>
              <w:t>dowej</w:t>
            </w:r>
            <w:r w:rsidR="00DB17E6">
              <w:rPr>
                <w:rFonts w:ascii="Times New Roman" w:hAnsi="Times New Roman" w:cs="Times New Roman"/>
                <w:sz w:val="20"/>
                <w:szCs w:val="20"/>
              </w:rPr>
              <w:t xml:space="preserve"> </w:t>
            </w:r>
            <w:r w:rsidRPr="00507B63">
              <w:rPr>
                <w:rFonts w:ascii="Times New Roman" w:hAnsi="Times New Roman" w:cs="Times New Roman"/>
                <w:sz w:val="20"/>
                <w:szCs w:val="20"/>
              </w:rPr>
              <w:t xml:space="preserve">z uwagi na zdezaktualizowanie się przesłanek skierowania na prewencję rentową ZUS. W przypadku przedłużającego się procesu, racjonalnie działający ubezpieczony podejmie bowiem we własnym zakresie działania ukierunkowane na leczenie i rehabilitację. Skutkiem tego, po roku czy dwóch rehabilitacja może okazać się niepotrzebna albo możliwa. Wydaje się zatem, że błędem jest czynienie założeń o możliwym przedłużeniu terminu rozpoznania sprawy z odwołania od decyzji w przedmiocie skierowania na prewencję rentową ZUS już na etapie projektowania ww. regulacji prawnej. Takie założenie stawia bowiem pod znakiem zapytania sens projektowanej regulacji. </w:t>
            </w:r>
          </w:p>
          <w:p w14:paraId="7893AEE5" w14:textId="4520D551" w:rsidR="00507B63" w:rsidRPr="007A61C7" w:rsidRDefault="00507B63" w:rsidP="00507B63">
            <w:pPr>
              <w:jc w:val="both"/>
              <w:rPr>
                <w:rFonts w:ascii="Times New Roman" w:hAnsi="Times New Roman" w:cs="Times New Roman"/>
                <w:sz w:val="20"/>
                <w:szCs w:val="20"/>
              </w:rPr>
            </w:pPr>
            <w:r w:rsidRPr="00507B63">
              <w:rPr>
                <w:rFonts w:ascii="Times New Roman" w:hAnsi="Times New Roman" w:cs="Times New Roman"/>
                <w:sz w:val="20"/>
                <w:szCs w:val="20"/>
              </w:rPr>
              <w:t xml:space="preserve">Na marginesie zwrócić uwagę należy, że skoro projektodawcy przyznają (w pkt 10), że projekt wpływa na sądownictwo poprzez zwiększenie liczby spraw – </w:t>
            </w:r>
            <w:proofErr w:type="spellStart"/>
            <w:r w:rsidRPr="00507B63">
              <w:rPr>
                <w:rFonts w:ascii="Times New Roman" w:hAnsi="Times New Roman" w:cs="Times New Roman"/>
                <w:sz w:val="20"/>
                <w:szCs w:val="20"/>
              </w:rPr>
              <w:t>odwołań</w:t>
            </w:r>
            <w:proofErr w:type="spellEnd"/>
            <w:r w:rsidRPr="00507B63">
              <w:rPr>
                <w:rFonts w:ascii="Times New Roman" w:hAnsi="Times New Roman" w:cs="Times New Roman"/>
                <w:sz w:val="20"/>
                <w:szCs w:val="20"/>
              </w:rPr>
              <w:t xml:space="preserve"> od decyzji </w:t>
            </w:r>
            <w:r w:rsidR="00DB17E6">
              <w:rPr>
                <w:rFonts w:ascii="Times New Roman" w:hAnsi="Times New Roman" w:cs="Times New Roman"/>
                <w:sz w:val="20"/>
                <w:szCs w:val="20"/>
              </w:rPr>
              <w:t>ZUS</w:t>
            </w:r>
            <w:r w:rsidRPr="00507B63">
              <w:rPr>
                <w:rFonts w:ascii="Times New Roman" w:hAnsi="Times New Roman" w:cs="Times New Roman"/>
                <w:sz w:val="20"/>
                <w:szCs w:val="20"/>
              </w:rPr>
              <w:t xml:space="preserve"> do sądów powszechnych – to zasadnym jest stosowne uzupełnienie danych w pkt 4, 6 i 7 OSR</w:t>
            </w:r>
            <w:r w:rsidR="00DB17E6">
              <w:rPr>
                <w:rFonts w:ascii="Times New Roman" w:hAnsi="Times New Roman" w:cs="Times New Roman"/>
                <w:sz w:val="20"/>
                <w:szCs w:val="20"/>
              </w:rPr>
              <w:t>.</w:t>
            </w:r>
          </w:p>
        </w:tc>
        <w:tc>
          <w:tcPr>
            <w:tcW w:w="5812" w:type="dxa"/>
          </w:tcPr>
          <w:p w14:paraId="3CCCEFEA" w14:textId="4154162B" w:rsidR="00507B63" w:rsidRPr="00507B63" w:rsidRDefault="00507B63" w:rsidP="00507B63">
            <w:pPr>
              <w:jc w:val="both"/>
              <w:rPr>
                <w:rFonts w:ascii="Times New Roman" w:hAnsi="Times New Roman" w:cs="Times New Roman"/>
                <w:sz w:val="20"/>
              </w:rPr>
            </w:pPr>
            <w:r w:rsidRPr="00507B63">
              <w:rPr>
                <w:rFonts w:ascii="Times New Roman" w:hAnsi="Times New Roman" w:cs="Times New Roman"/>
                <w:sz w:val="20"/>
              </w:rPr>
              <w:lastRenderedPageBreak/>
              <w:t xml:space="preserve">Na przestrzeni ostatnich kliku lat zauważalny jest trend spadkowy ogólnej liczby ubezpieczeniowych spraw odwoławczych. W ocenie </w:t>
            </w:r>
            <w:proofErr w:type="spellStart"/>
            <w:r>
              <w:rPr>
                <w:rFonts w:ascii="Times New Roman" w:hAnsi="Times New Roman" w:cs="Times New Roman"/>
                <w:sz w:val="20"/>
              </w:rPr>
              <w:t>MRPiPS</w:t>
            </w:r>
            <w:proofErr w:type="spellEnd"/>
            <w:r w:rsidRPr="00507B63">
              <w:rPr>
                <w:rFonts w:ascii="Times New Roman" w:hAnsi="Times New Roman" w:cs="Times New Roman"/>
                <w:sz w:val="20"/>
              </w:rPr>
              <w:t xml:space="preserve"> rozszerzenie katalogu rozstrzygnięć wydawanych przez ZUS, od których przysługuje odwołanie, o decyzję o skierowaniu na rehabilitację leczniczą w ramach prewencji rentowej, nie powinno zatem spowodować ponadnormatywnego obciążenia pracą sądów. </w:t>
            </w:r>
          </w:p>
          <w:p w14:paraId="1D1CBAED" w14:textId="77777777" w:rsidR="00507B63" w:rsidRPr="00507B63" w:rsidRDefault="00507B63" w:rsidP="00507B63">
            <w:pPr>
              <w:jc w:val="both"/>
              <w:rPr>
                <w:rFonts w:ascii="Times New Roman" w:hAnsi="Times New Roman" w:cs="Times New Roman"/>
                <w:sz w:val="20"/>
              </w:rPr>
            </w:pPr>
            <w:r w:rsidRPr="00507B63">
              <w:rPr>
                <w:rFonts w:ascii="Times New Roman" w:hAnsi="Times New Roman" w:cs="Times New Roman"/>
                <w:sz w:val="20"/>
              </w:rPr>
              <w:t xml:space="preserve">Ponieważ przepisy Kodeksu postępowania cywilnego nie określają czasu rozpoznania spraw (brak terminów), ewentualną konsekwencją zwiększonego obciążenia pracą może być jedynie wydłużenie czasookresu ich rozpoznania. </w:t>
            </w:r>
          </w:p>
          <w:p w14:paraId="3E4EC2C3" w14:textId="77D1B709" w:rsidR="003F5170" w:rsidRPr="00CD7D52" w:rsidRDefault="00507B63" w:rsidP="00507B63">
            <w:pPr>
              <w:jc w:val="both"/>
              <w:rPr>
                <w:rFonts w:ascii="Times New Roman" w:hAnsi="Times New Roman" w:cs="Times New Roman"/>
                <w:sz w:val="20"/>
              </w:rPr>
            </w:pPr>
            <w:r w:rsidRPr="00507B63">
              <w:rPr>
                <w:rFonts w:ascii="Times New Roman" w:hAnsi="Times New Roman" w:cs="Times New Roman"/>
                <w:sz w:val="20"/>
              </w:rPr>
              <w:t>Wątpliwości może budzić podana przez Ministerstwo Sprawiedliwości minimalna liczba etatów niezbędna do obsługi nowego zadania, oszacowana na poziomie 236 etatów. Z danych uzyskanych z </w:t>
            </w:r>
            <w:r>
              <w:rPr>
                <w:rFonts w:ascii="Times New Roman" w:hAnsi="Times New Roman" w:cs="Times New Roman"/>
                <w:sz w:val="20"/>
              </w:rPr>
              <w:t>ZUS</w:t>
            </w:r>
            <w:r w:rsidRPr="00507B63">
              <w:rPr>
                <w:rFonts w:ascii="Times New Roman" w:hAnsi="Times New Roman" w:cs="Times New Roman"/>
                <w:sz w:val="20"/>
              </w:rPr>
              <w:t xml:space="preserve"> wynika, że obecnie zadania związane</w:t>
            </w:r>
            <w:r>
              <w:rPr>
                <w:rFonts w:ascii="Times New Roman" w:hAnsi="Times New Roman" w:cs="Times New Roman"/>
                <w:sz w:val="20"/>
              </w:rPr>
              <w:t xml:space="preserve"> </w:t>
            </w:r>
            <w:r w:rsidRPr="00507B63">
              <w:rPr>
                <w:rFonts w:ascii="Times New Roman" w:hAnsi="Times New Roman" w:cs="Times New Roman"/>
                <w:sz w:val="20"/>
              </w:rPr>
              <w:t xml:space="preserve">z kierowaniem na rehabilitację leczniczą są realizowane w ramach 90 etatów: w 38 oddziałach ZUS w ramach  85 etatów i w Centrali ZUS w ramach 5 etatów. Z powyższego wynika zatem, że liczba osób, które miałyby się zajmować w sądach </w:t>
            </w:r>
            <w:proofErr w:type="spellStart"/>
            <w:r w:rsidRPr="00507B63">
              <w:rPr>
                <w:rFonts w:ascii="Times New Roman" w:hAnsi="Times New Roman" w:cs="Times New Roman"/>
                <w:sz w:val="20"/>
              </w:rPr>
              <w:t>odwołaniami</w:t>
            </w:r>
            <w:proofErr w:type="spellEnd"/>
            <w:r w:rsidRPr="00507B63">
              <w:rPr>
                <w:rFonts w:ascii="Times New Roman" w:hAnsi="Times New Roman" w:cs="Times New Roman"/>
                <w:sz w:val="20"/>
              </w:rPr>
              <w:t xml:space="preserve"> od decyzji ZUS, jest niewspółmiernie wysoka w porównaniu do liczby pracowników ZUS obecnie w sposób kompleksowy rozpatrujących wnioski o rehabilitację leczniczą w ramach prewencji rentowej.</w:t>
            </w:r>
          </w:p>
        </w:tc>
      </w:tr>
    </w:tbl>
    <w:p w14:paraId="4F53FCF8" w14:textId="77777777" w:rsidR="009A3389" w:rsidRDefault="009A3389" w:rsidP="00443077">
      <w:pPr>
        <w:spacing w:line="240" w:lineRule="auto"/>
        <w:rPr>
          <w:rFonts w:ascii="Arial" w:hAnsi="Arial" w:cs="Arial"/>
          <w:sz w:val="20"/>
          <w:szCs w:val="20"/>
        </w:rPr>
      </w:pPr>
    </w:p>
    <w:p w14:paraId="641C9241" w14:textId="77777777" w:rsidR="00B532D2" w:rsidRPr="00AC5114" w:rsidRDefault="00B532D2" w:rsidP="00B532D2">
      <w:pPr>
        <w:spacing w:line="240" w:lineRule="auto"/>
        <w:rPr>
          <w:rFonts w:ascii="Arial" w:hAnsi="Arial" w:cs="Arial"/>
          <w:sz w:val="20"/>
          <w:szCs w:val="20"/>
        </w:rPr>
      </w:pPr>
    </w:p>
    <w:sectPr w:rsidR="00B532D2" w:rsidRPr="00AC5114" w:rsidSect="00066F53">
      <w:footerReference w:type="default" r:id="rId8"/>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D475" w14:textId="77777777" w:rsidR="009B13E1" w:rsidRDefault="009B13E1" w:rsidP="00735AA5">
      <w:pPr>
        <w:spacing w:after="0" w:line="240" w:lineRule="auto"/>
      </w:pPr>
      <w:r>
        <w:separator/>
      </w:r>
    </w:p>
  </w:endnote>
  <w:endnote w:type="continuationSeparator" w:id="0">
    <w:p w14:paraId="40B7A4DA" w14:textId="77777777" w:rsidR="009B13E1" w:rsidRDefault="009B13E1"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451909213"/>
      <w:docPartObj>
        <w:docPartGallery w:val="Page Numbers (Bottom of Page)"/>
        <w:docPartUnique/>
      </w:docPartObj>
    </w:sdtPr>
    <w:sdtEndPr/>
    <w:sdtContent>
      <w:p w14:paraId="7F0F8A04" w14:textId="77777777" w:rsidR="000B346A" w:rsidRPr="000B346A" w:rsidRDefault="000B346A">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C43539">
          <w:rPr>
            <w:rFonts w:ascii="Arial" w:hAnsi="Arial" w:cs="Arial"/>
            <w:noProof/>
            <w:sz w:val="18"/>
          </w:rPr>
          <w:t>2</w:t>
        </w:r>
        <w:r w:rsidRPr="000B346A">
          <w:rPr>
            <w:rFonts w:ascii="Arial" w:hAnsi="Arial" w:cs="Arial"/>
            <w:sz w:val="18"/>
          </w:rPr>
          <w:fldChar w:fldCharType="end"/>
        </w:r>
        <w:r w:rsidRPr="000B346A">
          <w:rPr>
            <w:rFonts w:ascii="Arial" w:hAnsi="Arial" w:cs="Arial"/>
            <w:sz w:val="18"/>
          </w:rPr>
          <w:t xml:space="preserve"> </w:t>
        </w:r>
      </w:p>
    </w:sdtContent>
  </w:sdt>
  <w:p w14:paraId="122EB85D"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59EF6" w14:textId="77777777" w:rsidR="009B13E1" w:rsidRDefault="009B13E1" w:rsidP="00735AA5">
      <w:pPr>
        <w:spacing w:after="0" w:line="240" w:lineRule="auto"/>
      </w:pPr>
      <w:r>
        <w:separator/>
      </w:r>
    </w:p>
  </w:footnote>
  <w:footnote w:type="continuationSeparator" w:id="0">
    <w:p w14:paraId="16323845" w14:textId="77777777" w:rsidR="009B13E1" w:rsidRDefault="009B13E1"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422"/>
    <w:multiLevelType w:val="hybridMultilevel"/>
    <w:tmpl w:val="1EA4D2F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4"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5" w15:restartNumberingAfterBreak="0">
    <w:nsid w:val="23BF00C4"/>
    <w:multiLevelType w:val="hybridMultilevel"/>
    <w:tmpl w:val="1B82B4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4954DF"/>
    <w:multiLevelType w:val="hybridMultilevel"/>
    <w:tmpl w:val="8F681E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554379"/>
    <w:multiLevelType w:val="hybridMultilevel"/>
    <w:tmpl w:val="6C22EA48"/>
    <w:lvl w:ilvl="0" w:tplc="04150001">
      <w:start w:val="1"/>
      <w:numFmt w:val="bullet"/>
      <w:lvlText w:val=""/>
      <w:lvlJc w:val="left"/>
      <w:pPr>
        <w:ind w:left="825" w:hanging="360"/>
      </w:pPr>
      <w:rPr>
        <w:rFonts w:ascii="Symbol" w:hAnsi="Symbol" w:hint="default"/>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8" w15:restartNumberingAfterBreak="0">
    <w:nsid w:val="53813188"/>
    <w:multiLevelType w:val="hybridMultilevel"/>
    <w:tmpl w:val="0964A7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B1622A"/>
    <w:multiLevelType w:val="hybridMultilevel"/>
    <w:tmpl w:val="53A673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DD0B2E"/>
    <w:multiLevelType w:val="hybridMultilevel"/>
    <w:tmpl w:val="222087A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23325D"/>
    <w:multiLevelType w:val="hybridMultilevel"/>
    <w:tmpl w:val="8BE6A244"/>
    <w:lvl w:ilvl="0" w:tplc="A134E28C">
      <w:start w:val="1"/>
      <w:numFmt w:val="decimal"/>
      <w:lvlText w:val="%1."/>
      <w:lvlJc w:val="left"/>
      <w:pPr>
        <w:ind w:left="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18083EC">
      <w:start w:val="1"/>
      <w:numFmt w:val="lowerLetter"/>
      <w:lvlText w:val="%2"/>
      <w:lvlJc w:val="left"/>
      <w:pPr>
        <w:ind w:left="1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92F12E">
      <w:start w:val="1"/>
      <w:numFmt w:val="lowerRoman"/>
      <w:lvlText w:val="%3"/>
      <w:lvlJc w:val="left"/>
      <w:pPr>
        <w:ind w:left="2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34025F2">
      <w:start w:val="1"/>
      <w:numFmt w:val="decimal"/>
      <w:lvlText w:val="%4"/>
      <w:lvlJc w:val="left"/>
      <w:pPr>
        <w:ind w:left="29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E6B78E">
      <w:start w:val="1"/>
      <w:numFmt w:val="lowerLetter"/>
      <w:lvlText w:val="%5"/>
      <w:lvlJc w:val="left"/>
      <w:pPr>
        <w:ind w:left="37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86E5C2">
      <w:start w:val="1"/>
      <w:numFmt w:val="lowerRoman"/>
      <w:lvlText w:val="%6"/>
      <w:lvlJc w:val="left"/>
      <w:pPr>
        <w:ind w:left="44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D6064DE">
      <w:start w:val="1"/>
      <w:numFmt w:val="decimal"/>
      <w:lvlText w:val="%7"/>
      <w:lvlJc w:val="left"/>
      <w:pPr>
        <w:ind w:left="51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32E680">
      <w:start w:val="1"/>
      <w:numFmt w:val="lowerLetter"/>
      <w:lvlText w:val="%8"/>
      <w:lvlJc w:val="left"/>
      <w:pPr>
        <w:ind w:left="58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2C85590">
      <w:start w:val="1"/>
      <w:numFmt w:val="lowerRoman"/>
      <w:lvlText w:val="%9"/>
      <w:lvlJc w:val="left"/>
      <w:pPr>
        <w:ind w:left="65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55D736E"/>
    <w:multiLevelType w:val="hybridMultilevel"/>
    <w:tmpl w:val="23A48E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14"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5"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abstractNumId w:val="3"/>
  </w:num>
  <w:num w:numId="2">
    <w:abstractNumId w:val="4"/>
  </w:num>
  <w:num w:numId="3">
    <w:abstractNumId w:val="14"/>
  </w:num>
  <w:num w:numId="4">
    <w:abstractNumId w:val="2"/>
  </w:num>
  <w:num w:numId="5">
    <w:abstractNumId w:val="15"/>
  </w:num>
  <w:num w:numId="6">
    <w:abstractNumId w:val="13"/>
  </w:num>
  <w:num w:numId="7">
    <w:abstractNumId w:val="0"/>
  </w:num>
  <w:num w:numId="8">
    <w:abstractNumId w:val="1"/>
  </w:num>
  <w:num w:numId="9">
    <w:abstractNumId w:val="10"/>
  </w:num>
  <w:num w:numId="10">
    <w:abstractNumId w:val="9"/>
  </w:num>
  <w:num w:numId="11">
    <w:abstractNumId w:val="5"/>
  </w:num>
  <w:num w:numId="12">
    <w:abstractNumId w:val="7"/>
  </w:num>
  <w:num w:numId="13">
    <w:abstractNumId w:val="8"/>
  </w:num>
  <w:num w:numId="14">
    <w:abstractNumId w:val="11"/>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0747A"/>
    <w:rsid w:val="000153D6"/>
    <w:rsid w:val="00051C6A"/>
    <w:rsid w:val="0006187F"/>
    <w:rsid w:val="00066F53"/>
    <w:rsid w:val="00070A51"/>
    <w:rsid w:val="00084817"/>
    <w:rsid w:val="00084B4C"/>
    <w:rsid w:val="00085423"/>
    <w:rsid w:val="00085E2E"/>
    <w:rsid w:val="00087C32"/>
    <w:rsid w:val="00091F2A"/>
    <w:rsid w:val="000A36FB"/>
    <w:rsid w:val="000B1157"/>
    <w:rsid w:val="000B346A"/>
    <w:rsid w:val="000D36EB"/>
    <w:rsid w:val="000D5503"/>
    <w:rsid w:val="000E5409"/>
    <w:rsid w:val="000E57F6"/>
    <w:rsid w:val="000F05AF"/>
    <w:rsid w:val="000F1D6F"/>
    <w:rsid w:val="000F7C43"/>
    <w:rsid w:val="00110336"/>
    <w:rsid w:val="00112383"/>
    <w:rsid w:val="00125990"/>
    <w:rsid w:val="00141978"/>
    <w:rsid w:val="00145EAB"/>
    <w:rsid w:val="0017666A"/>
    <w:rsid w:val="00176876"/>
    <w:rsid w:val="00177EC3"/>
    <w:rsid w:val="001857B6"/>
    <w:rsid w:val="001857F0"/>
    <w:rsid w:val="00192CBC"/>
    <w:rsid w:val="001A4424"/>
    <w:rsid w:val="001C0CD2"/>
    <w:rsid w:val="001E01AE"/>
    <w:rsid w:val="001E4892"/>
    <w:rsid w:val="001F0431"/>
    <w:rsid w:val="001F3A0F"/>
    <w:rsid w:val="0020746D"/>
    <w:rsid w:val="00227325"/>
    <w:rsid w:val="00242233"/>
    <w:rsid w:val="002578A5"/>
    <w:rsid w:val="002662EA"/>
    <w:rsid w:val="002A181F"/>
    <w:rsid w:val="002A4337"/>
    <w:rsid w:val="002A73AD"/>
    <w:rsid w:val="002B60FD"/>
    <w:rsid w:val="002D015B"/>
    <w:rsid w:val="002E0918"/>
    <w:rsid w:val="002E370A"/>
    <w:rsid w:val="0030660E"/>
    <w:rsid w:val="003135BF"/>
    <w:rsid w:val="00314C54"/>
    <w:rsid w:val="00317195"/>
    <w:rsid w:val="003273F1"/>
    <w:rsid w:val="00330745"/>
    <w:rsid w:val="003361E2"/>
    <w:rsid w:val="00351631"/>
    <w:rsid w:val="00353147"/>
    <w:rsid w:val="003706A6"/>
    <w:rsid w:val="003728E0"/>
    <w:rsid w:val="003769D0"/>
    <w:rsid w:val="00391DEE"/>
    <w:rsid w:val="003922A1"/>
    <w:rsid w:val="003A100F"/>
    <w:rsid w:val="003A26B6"/>
    <w:rsid w:val="003A430E"/>
    <w:rsid w:val="003C37EF"/>
    <w:rsid w:val="003C6BED"/>
    <w:rsid w:val="003D58CA"/>
    <w:rsid w:val="003D7112"/>
    <w:rsid w:val="003D7D21"/>
    <w:rsid w:val="003E2655"/>
    <w:rsid w:val="003E3CCB"/>
    <w:rsid w:val="003E6CAF"/>
    <w:rsid w:val="003F0DC4"/>
    <w:rsid w:val="003F2ED2"/>
    <w:rsid w:val="003F5170"/>
    <w:rsid w:val="00400A24"/>
    <w:rsid w:val="00414EA2"/>
    <w:rsid w:val="00425E07"/>
    <w:rsid w:val="00443077"/>
    <w:rsid w:val="00452E52"/>
    <w:rsid w:val="00455D48"/>
    <w:rsid w:val="00456A6B"/>
    <w:rsid w:val="00461794"/>
    <w:rsid w:val="004657C0"/>
    <w:rsid w:val="00467EE0"/>
    <w:rsid w:val="00484AD3"/>
    <w:rsid w:val="004977F7"/>
    <w:rsid w:val="00497D93"/>
    <w:rsid w:val="004A083A"/>
    <w:rsid w:val="004A1A60"/>
    <w:rsid w:val="004A28E0"/>
    <w:rsid w:val="004A78CF"/>
    <w:rsid w:val="004D2EE5"/>
    <w:rsid w:val="004D3A57"/>
    <w:rsid w:val="004E0816"/>
    <w:rsid w:val="004F6893"/>
    <w:rsid w:val="00507B63"/>
    <w:rsid w:val="005128B1"/>
    <w:rsid w:val="00537F4C"/>
    <w:rsid w:val="0054219A"/>
    <w:rsid w:val="00545CD3"/>
    <w:rsid w:val="0055253D"/>
    <w:rsid w:val="00562414"/>
    <w:rsid w:val="0057260B"/>
    <w:rsid w:val="005A77D5"/>
    <w:rsid w:val="005D442D"/>
    <w:rsid w:val="00610E4D"/>
    <w:rsid w:val="006235D0"/>
    <w:rsid w:val="00625035"/>
    <w:rsid w:val="0062744E"/>
    <w:rsid w:val="006328A9"/>
    <w:rsid w:val="00643D47"/>
    <w:rsid w:val="006460F8"/>
    <w:rsid w:val="006658EE"/>
    <w:rsid w:val="006669AD"/>
    <w:rsid w:val="00674BCF"/>
    <w:rsid w:val="0068742C"/>
    <w:rsid w:val="006911AF"/>
    <w:rsid w:val="0069266E"/>
    <w:rsid w:val="00697516"/>
    <w:rsid w:val="006A0EFA"/>
    <w:rsid w:val="006A6E0A"/>
    <w:rsid w:val="006B093F"/>
    <w:rsid w:val="006B1FB7"/>
    <w:rsid w:val="006B3F58"/>
    <w:rsid w:val="006C26E7"/>
    <w:rsid w:val="006C2BC9"/>
    <w:rsid w:val="006C42B2"/>
    <w:rsid w:val="006C5C5F"/>
    <w:rsid w:val="006D6009"/>
    <w:rsid w:val="006E093C"/>
    <w:rsid w:val="006E141B"/>
    <w:rsid w:val="006E276D"/>
    <w:rsid w:val="006F0D7B"/>
    <w:rsid w:val="006F1155"/>
    <w:rsid w:val="006F182C"/>
    <w:rsid w:val="006F6137"/>
    <w:rsid w:val="00700B1C"/>
    <w:rsid w:val="007018E8"/>
    <w:rsid w:val="00707BA7"/>
    <w:rsid w:val="007135B2"/>
    <w:rsid w:val="0072617B"/>
    <w:rsid w:val="00730C35"/>
    <w:rsid w:val="00735AA5"/>
    <w:rsid w:val="00737779"/>
    <w:rsid w:val="00751B0F"/>
    <w:rsid w:val="00753DAB"/>
    <w:rsid w:val="00757E3B"/>
    <w:rsid w:val="0076035F"/>
    <w:rsid w:val="0076077D"/>
    <w:rsid w:val="00766EA6"/>
    <w:rsid w:val="00770234"/>
    <w:rsid w:val="0078173B"/>
    <w:rsid w:val="0078491B"/>
    <w:rsid w:val="00794927"/>
    <w:rsid w:val="007A2677"/>
    <w:rsid w:val="007A61C7"/>
    <w:rsid w:val="007C1BBE"/>
    <w:rsid w:val="007C4CA7"/>
    <w:rsid w:val="007C5723"/>
    <w:rsid w:val="007F39C0"/>
    <w:rsid w:val="0080432E"/>
    <w:rsid w:val="00807ED5"/>
    <w:rsid w:val="00814DF2"/>
    <w:rsid w:val="008203CF"/>
    <w:rsid w:val="00830132"/>
    <w:rsid w:val="00831100"/>
    <w:rsid w:val="00842F9F"/>
    <w:rsid w:val="008469A8"/>
    <w:rsid w:val="00865E24"/>
    <w:rsid w:val="00870658"/>
    <w:rsid w:val="008753CF"/>
    <w:rsid w:val="00886DC0"/>
    <w:rsid w:val="008A2678"/>
    <w:rsid w:val="008B0C2C"/>
    <w:rsid w:val="008B2605"/>
    <w:rsid w:val="008C724F"/>
    <w:rsid w:val="008D470F"/>
    <w:rsid w:val="0090457B"/>
    <w:rsid w:val="009102C0"/>
    <w:rsid w:val="009206BB"/>
    <w:rsid w:val="00924CEC"/>
    <w:rsid w:val="009305D7"/>
    <w:rsid w:val="00943ABC"/>
    <w:rsid w:val="009532CB"/>
    <w:rsid w:val="009554D4"/>
    <w:rsid w:val="009672B1"/>
    <w:rsid w:val="00983A14"/>
    <w:rsid w:val="009923E7"/>
    <w:rsid w:val="009A3389"/>
    <w:rsid w:val="009B13E1"/>
    <w:rsid w:val="009C51DB"/>
    <w:rsid w:val="009C758F"/>
    <w:rsid w:val="009D291F"/>
    <w:rsid w:val="009D45D8"/>
    <w:rsid w:val="009D4953"/>
    <w:rsid w:val="009E3A2C"/>
    <w:rsid w:val="009E6051"/>
    <w:rsid w:val="009E7C9C"/>
    <w:rsid w:val="009F0DB4"/>
    <w:rsid w:val="00A11E28"/>
    <w:rsid w:val="00A1326C"/>
    <w:rsid w:val="00A15450"/>
    <w:rsid w:val="00A16478"/>
    <w:rsid w:val="00A20E98"/>
    <w:rsid w:val="00A24291"/>
    <w:rsid w:val="00A30AE1"/>
    <w:rsid w:val="00A407A4"/>
    <w:rsid w:val="00A46369"/>
    <w:rsid w:val="00A64143"/>
    <w:rsid w:val="00A65542"/>
    <w:rsid w:val="00A84E59"/>
    <w:rsid w:val="00A92454"/>
    <w:rsid w:val="00AA21C7"/>
    <w:rsid w:val="00AA4E19"/>
    <w:rsid w:val="00AC5114"/>
    <w:rsid w:val="00AC5FEA"/>
    <w:rsid w:val="00AE5C82"/>
    <w:rsid w:val="00AF2DCB"/>
    <w:rsid w:val="00AF5CDF"/>
    <w:rsid w:val="00AF6E2F"/>
    <w:rsid w:val="00B0068C"/>
    <w:rsid w:val="00B15F59"/>
    <w:rsid w:val="00B31E2F"/>
    <w:rsid w:val="00B3406C"/>
    <w:rsid w:val="00B358EB"/>
    <w:rsid w:val="00B42C3F"/>
    <w:rsid w:val="00B50CA3"/>
    <w:rsid w:val="00B51903"/>
    <w:rsid w:val="00B52255"/>
    <w:rsid w:val="00B532D2"/>
    <w:rsid w:val="00B53374"/>
    <w:rsid w:val="00B56939"/>
    <w:rsid w:val="00B61D90"/>
    <w:rsid w:val="00B6389A"/>
    <w:rsid w:val="00B67DCB"/>
    <w:rsid w:val="00B80A57"/>
    <w:rsid w:val="00B81486"/>
    <w:rsid w:val="00B95299"/>
    <w:rsid w:val="00BA1902"/>
    <w:rsid w:val="00BA4F50"/>
    <w:rsid w:val="00BA5E9E"/>
    <w:rsid w:val="00BB13BC"/>
    <w:rsid w:val="00BB4104"/>
    <w:rsid w:val="00BB440E"/>
    <w:rsid w:val="00BC6CA4"/>
    <w:rsid w:val="00BD06E7"/>
    <w:rsid w:val="00BD1AB7"/>
    <w:rsid w:val="00BD2C0B"/>
    <w:rsid w:val="00BE02D9"/>
    <w:rsid w:val="00BF1179"/>
    <w:rsid w:val="00BF5FA3"/>
    <w:rsid w:val="00C076FF"/>
    <w:rsid w:val="00C15083"/>
    <w:rsid w:val="00C155CC"/>
    <w:rsid w:val="00C22A1F"/>
    <w:rsid w:val="00C3078B"/>
    <w:rsid w:val="00C43539"/>
    <w:rsid w:val="00C5003A"/>
    <w:rsid w:val="00C549CB"/>
    <w:rsid w:val="00C63F1E"/>
    <w:rsid w:val="00C752BD"/>
    <w:rsid w:val="00C831E4"/>
    <w:rsid w:val="00C84C9D"/>
    <w:rsid w:val="00C903A5"/>
    <w:rsid w:val="00C90694"/>
    <w:rsid w:val="00C92C98"/>
    <w:rsid w:val="00CA2AE1"/>
    <w:rsid w:val="00CA6B3C"/>
    <w:rsid w:val="00CB182D"/>
    <w:rsid w:val="00CB49F4"/>
    <w:rsid w:val="00CB5636"/>
    <w:rsid w:val="00CD7D52"/>
    <w:rsid w:val="00CE5ADD"/>
    <w:rsid w:val="00CF5425"/>
    <w:rsid w:val="00CF6E70"/>
    <w:rsid w:val="00D21460"/>
    <w:rsid w:val="00D23483"/>
    <w:rsid w:val="00D34082"/>
    <w:rsid w:val="00D40441"/>
    <w:rsid w:val="00D4177E"/>
    <w:rsid w:val="00D41D3D"/>
    <w:rsid w:val="00D57865"/>
    <w:rsid w:val="00D67303"/>
    <w:rsid w:val="00D71E4C"/>
    <w:rsid w:val="00D85DBF"/>
    <w:rsid w:val="00D94C41"/>
    <w:rsid w:val="00D96629"/>
    <w:rsid w:val="00DA3ACE"/>
    <w:rsid w:val="00DA68AF"/>
    <w:rsid w:val="00DB17E6"/>
    <w:rsid w:val="00DC0F80"/>
    <w:rsid w:val="00DC1A70"/>
    <w:rsid w:val="00DD549B"/>
    <w:rsid w:val="00E21B79"/>
    <w:rsid w:val="00E24FFE"/>
    <w:rsid w:val="00E2744F"/>
    <w:rsid w:val="00E33B8C"/>
    <w:rsid w:val="00E4029E"/>
    <w:rsid w:val="00E44635"/>
    <w:rsid w:val="00E53BF8"/>
    <w:rsid w:val="00E54C3D"/>
    <w:rsid w:val="00E61204"/>
    <w:rsid w:val="00E67BF3"/>
    <w:rsid w:val="00E7699F"/>
    <w:rsid w:val="00E83392"/>
    <w:rsid w:val="00E92DC4"/>
    <w:rsid w:val="00E95718"/>
    <w:rsid w:val="00E95F73"/>
    <w:rsid w:val="00EA0D6E"/>
    <w:rsid w:val="00EB5B1E"/>
    <w:rsid w:val="00EC117C"/>
    <w:rsid w:val="00EC7543"/>
    <w:rsid w:val="00ED0F8F"/>
    <w:rsid w:val="00ED24ED"/>
    <w:rsid w:val="00EE5AE4"/>
    <w:rsid w:val="00EF6CC7"/>
    <w:rsid w:val="00F0712F"/>
    <w:rsid w:val="00F11CBF"/>
    <w:rsid w:val="00F22A15"/>
    <w:rsid w:val="00F562C8"/>
    <w:rsid w:val="00F62B8B"/>
    <w:rsid w:val="00F6358F"/>
    <w:rsid w:val="00F6740E"/>
    <w:rsid w:val="00F753D1"/>
    <w:rsid w:val="00F80086"/>
    <w:rsid w:val="00FA1B82"/>
    <w:rsid w:val="00FA2644"/>
    <w:rsid w:val="00FA47E1"/>
    <w:rsid w:val="00FB53C0"/>
    <w:rsid w:val="00FC1B8A"/>
    <w:rsid w:val="00FC4E18"/>
    <w:rsid w:val="00FD1E90"/>
    <w:rsid w:val="00FD3FFD"/>
    <w:rsid w:val="00FD481C"/>
    <w:rsid w:val="00FD7CD5"/>
    <w:rsid w:val="00FE7256"/>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366E6"/>
  <w15:docId w15:val="{AF61DA1B-C109-474E-A7A9-DE1CB8C0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E3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aliases w:val="Normalny PDST,lp1,Preambuła,HŁ_Bullet1,Wyliczanie,List Paragraph,BulletC,Numerowanie,Podsis rysunku,L1,Akapit z listą5,Rozdział,T_SZ_List Paragraph,Podsis rysunku1,Normalny PDST1,lp11,Preambuła1,HŁ_Bullet11,L11,Numerowanie1"/>
    <w:basedOn w:val="Normalny"/>
    <w:link w:val="AkapitzlistZnak"/>
    <w:uiPriority w:val="34"/>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customStyle="1" w:styleId="Default">
    <w:name w:val="Default"/>
    <w:rsid w:val="005128B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1"/>
    <w:qFormat/>
    <w:rsid w:val="000F05AF"/>
    <w:pPr>
      <w:spacing w:after="0" w:line="240" w:lineRule="auto"/>
    </w:pPr>
  </w:style>
  <w:style w:type="paragraph" w:styleId="Tekstprzypisudolnego">
    <w:name w:val="footnote text"/>
    <w:basedOn w:val="Normalny"/>
    <w:link w:val="TekstprzypisudolnegoZnak"/>
    <w:uiPriority w:val="99"/>
    <w:unhideWhenUsed/>
    <w:rsid w:val="008B2605"/>
    <w:pPr>
      <w:spacing w:beforeAutospacing="1" w:after="0" w:afterAutospacing="1" w:line="240" w:lineRule="auto"/>
      <w:jc w:val="both"/>
    </w:pPr>
    <w:rPr>
      <w:rFonts w:ascii="Calibri" w:eastAsia="Times New Roman" w:hAnsi="Calibri" w:cs="Times New Roman"/>
      <w:color w:val="000000"/>
      <w:sz w:val="20"/>
      <w:szCs w:val="20"/>
      <w:lang w:eastAsia="pl-PL"/>
    </w:rPr>
  </w:style>
  <w:style w:type="character" w:customStyle="1" w:styleId="TekstprzypisudolnegoZnak">
    <w:name w:val="Tekst przypisu dolnego Znak"/>
    <w:basedOn w:val="Domylnaczcionkaakapitu"/>
    <w:link w:val="Tekstprzypisudolnego"/>
    <w:uiPriority w:val="99"/>
    <w:rsid w:val="008B2605"/>
    <w:rPr>
      <w:rFonts w:ascii="Calibri" w:eastAsia="Times New Roman" w:hAnsi="Calibri" w:cs="Times New Roman"/>
      <w:color w:val="000000"/>
      <w:sz w:val="20"/>
      <w:szCs w:val="20"/>
      <w:lang w:eastAsia="pl-PL"/>
    </w:rPr>
  </w:style>
  <w:style w:type="paragraph" w:customStyle="1" w:styleId="footnotedescription">
    <w:name w:val="footnote description"/>
    <w:next w:val="Normalny"/>
    <w:link w:val="footnotedescriptionChar"/>
    <w:hidden/>
    <w:rsid w:val="003C37EF"/>
    <w:pPr>
      <w:spacing w:after="0" w:line="259" w:lineRule="auto"/>
      <w:ind w:left="-13"/>
    </w:pPr>
    <w:rPr>
      <w:rFonts w:ascii="Times New Roman" w:eastAsia="Times New Roman" w:hAnsi="Times New Roman" w:cs="Times New Roman"/>
      <w:color w:val="000000"/>
      <w:kern w:val="2"/>
      <w:sz w:val="20"/>
      <w:lang w:eastAsia="pl-PL"/>
      <w14:ligatures w14:val="standardContextual"/>
    </w:rPr>
  </w:style>
  <w:style w:type="character" w:customStyle="1" w:styleId="footnotedescriptionChar">
    <w:name w:val="footnote description Char"/>
    <w:link w:val="footnotedescription"/>
    <w:rsid w:val="003C37EF"/>
    <w:rPr>
      <w:rFonts w:ascii="Times New Roman" w:eastAsia="Times New Roman" w:hAnsi="Times New Roman" w:cs="Times New Roman"/>
      <w:color w:val="000000"/>
      <w:kern w:val="2"/>
      <w:sz w:val="20"/>
      <w:lang w:eastAsia="pl-PL"/>
      <w14:ligatures w14:val="standardContextual"/>
    </w:rPr>
  </w:style>
  <w:style w:type="character" w:customStyle="1" w:styleId="footnotemark">
    <w:name w:val="footnote mark"/>
    <w:hidden/>
    <w:rsid w:val="003C37EF"/>
    <w:rPr>
      <w:rFonts w:ascii="Times New Roman" w:eastAsia="Times New Roman" w:hAnsi="Times New Roman" w:cs="Times New Roman"/>
      <w:color w:val="000000"/>
      <w:sz w:val="12"/>
      <w:vertAlign w:val="superscript"/>
    </w:rPr>
  </w:style>
  <w:style w:type="paragraph" w:customStyle="1" w:styleId="ZARTzmartartykuempunktem">
    <w:name w:val="Z/ART(§) – zm. art. (§) artykułem (punktem)"/>
    <w:basedOn w:val="ARTartustawynprozporzdzenia"/>
    <w:uiPriority w:val="30"/>
    <w:qFormat/>
    <w:rsid w:val="009554D4"/>
    <w:pPr>
      <w:spacing w:before="0"/>
      <w:ind w:left="510"/>
    </w:pPr>
    <w:rPr>
      <w:rFonts w:eastAsiaTheme="minorEastAsia"/>
    </w:rPr>
  </w:style>
  <w:style w:type="character" w:customStyle="1" w:styleId="Nagwek1Znak">
    <w:name w:val="Nagłówek 1 Znak"/>
    <w:basedOn w:val="Domylnaczcionkaakapitu"/>
    <w:link w:val="Nagwek1"/>
    <w:uiPriority w:val="9"/>
    <w:rsid w:val="009E3A2C"/>
    <w:rPr>
      <w:rFonts w:asciiTheme="majorHAnsi" w:eastAsiaTheme="majorEastAsia" w:hAnsiTheme="majorHAnsi" w:cstheme="majorBidi"/>
      <w:color w:val="365F91" w:themeColor="accent1" w:themeShade="BF"/>
      <w:sz w:val="32"/>
      <w:szCs w:val="32"/>
    </w:rPr>
  </w:style>
  <w:style w:type="character" w:customStyle="1" w:styleId="highlight">
    <w:name w:val="highlight"/>
    <w:basedOn w:val="Domylnaczcionkaakapitu"/>
    <w:rsid w:val="009E3A2C"/>
  </w:style>
  <w:style w:type="paragraph" w:customStyle="1" w:styleId="ZPKTzmpktartykuempunktem">
    <w:name w:val="Z/PKT – zm. pkt artykułem (punktem)"/>
    <w:basedOn w:val="PKTpunkt"/>
    <w:uiPriority w:val="31"/>
    <w:qFormat/>
    <w:rsid w:val="000E5409"/>
    <w:pPr>
      <w:ind w:left="1020"/>
    </w:pPr>
    <w:rPr>
      <w:rFonts w:eastAsiaTheme="minorEastAsia"/>
    </w:rPr>
  </w:style>
  <w:style w:type="character" w:styleId="Odwoanieprzypisudolnego">
    <w:name w:val="footnote reference"/>
    <w:uiPriority w:val="99"/>
    <w:semiHidden/>
    <w:rsid w:val="00C549CB"/>
    <w:rPr>
      <w:rFonts w:cs="Times New Roman"/>
      <w:vertAlign w:val="superscript"/>
    </w:rPr>
  </w:style>
  <w:style w:type="paragraph" w:customStyle="1" w:styleId="ODNONIKtreodnonika">
    <w:name w:val="ODNOŚNIK – treść odnośnika"/>
    <w:uiPriority w:val="19"/>
    <w:qFormat/>
    <w:rsid w:val="00C549CB"/>
    <w:pPr>
      <w:spacing w:after="0" w:line="240" w:lineRule="auto"/>
      <w:ind w:left="284" w:hanging="284"/>
      <w:jc w:val="both"/>
    </w:pPr>
    <w:rPr>
      <w:rFonts w:ascii="Times New Roman" w:eastAsiaTheme="minorEastAsia" w:hAnsi="Times New Roman" w:cs="Arial"/>
      <w:sz w:val="20"/>
      <w:szCs w:val="20"/>
      <w:lang w:eastAsia="pl-PL"/>
    </w:rPr>
  </w:style>
  <w:style w:type="paragraph" w:customStyle="1" w:styleId="ZUSTzmustartykuempunktem">
    <w:name w:val="Z/UST(§) – zm. ust. (§) artykułem (punktem)"/>
    <w:basedOn w:val="ZARTzmartartykuempunktem"/>
    <w:uiPriority w:val="30"/>
    <w:qFormat/>
    <w:rsid w:val="00C549CB"/>
  </w:style>
  <w:style w:type="character" w:customStyle="1" w:styleId="IGindeksgrny">
    <w:name w:val="_IG_ – indeks górny"/>
    <w:basedOn w:val="Domylnaczcionkaakapitu"/>
    <w:uiPriority w:val="2"/>
    <w:qFormat/>
    <w:rsid w:val="00C549CB"/>
    <w:rPr>
      <w:b w:val="0"/>
      <w:i w:val="0"/>
      <w:vanish w:val="0"/>
      <w:spacing w:val="0"/>
      <w:vertAlign w:val="superscript"/>
    </w:rPr>
  </w:style>
  <w:style w:type="character" w:styleId="Hipercze">
    <w:name w:val="Hyperlink"/>
    <w:basedOn w:val="Domylnaczcionkaakapitu"/>
    <w:uiPriority w:val="99"/>
    <w:unhideWhenUsed/>
    <w:rsid w:val="00B56939"/>
    <w:rPr>
      <w:color w:val="0000FF" w:themeColor="hyperlink"/>
      <w:u w:val="single"/>
    </w:rPr>
  </w:style>
  <w:style w:type="character" w:styleId="Nierozpoznanawzmianka">
    <w:name w:val="Unresolved Mention"/>
    <w:basedOn w:val="Domylnaczcionkaakapitu"/>
    <w:uiPriority w:val="99"/>
    <w:semiHidden/>
    <w:unhideWhenUsed/>
    <w:rsid w:val="00B56939"/>
    <w:rPr>
      <w:color w:val="605E5C"/>
      <w:shd w:val="clear" w:color="auto" w:fill="E1DFDD"/>
    </w:rPr>
  </w:style>
  <w:style w:type="paragraph" w:customStyle="1" w:styleId="ZFRAGzmfragmentunpzdaniaartykuempunktem">
    <w:name w:val="Z/FRAG – zm. fragmentu (np. zdania) artykułem (punktem)"/>
    <w:basedOn w:val="ZARTzmartartykuempunktem"/>
    <w:next w:val="PKTpunkt"/>
    <w:uiPriority w:val="36"/>
    <w:qFormat/>
    <w:rsid w:val="0080432E"/>
    <w:pPr>
      <w:ind w:firstLine="0"/>
    </w:pPr>
    <w:rPr>
      <w:rFonts w:ascii="Times New Roman" w:hAnsi="Times New Roman"/>
    </w:rPr>
  </w:style>
  <w:style w:type="character" w:customStyle="1" w:styleId="AkapitzlistZnak">
    <w:name w:val="Akapit z listą Znak"/>
    <w:aliases w:val="Normalny PDST Znak,lp1 Znak,Preambuła Znak,HŁ_Bullet1 Znak,Wyliczanie Znak,List Paragraph Znak,BulletC Znak,Numerowanie Znak,Podsis rysunku Znak,L1 Znak,Akapit z listą5 Znak,Rozdział Znak,T_SZ_List Paragraph Znak,Podsis rysunku1 Znak"/>
    <w:link w:val="Akapitzlist"/>
    <w:uiPriority w:val="34"/>
    <w:qFormat/>
    <w:locked/>
    <w:rsid w:val="00A84E59"/>
  </w:style>
  <w:style w:type="paragraph" w:styleId="Poprawka">
    <w:name w:val="Revision"/>
    <w:hidden/>
    <w:uiPriority w:val="99"/>
    <w:semiHidden/>
    <w:rsid w:val="00794927"/>
    <w:pPr>
      <w:spacing w:after="0" w:line="240" w:lineRule="auto"/>
    </w:pPr>
  </w:style>
  <w:style w:type="paragraph" w:styleId="Tekstprzypisukocowego">
    <w:name w:val="endnote text"/>
    <w:basedOn w:val="Normalny"/>
    <w:link w:val="TekstprzypisukocowegoZnak"/>
    <w:uiPriority w:val="99"/>
    <w:semiHidden/>
    <w:unhideWhenUsed/>
    <w:rsid w:val="00B42C3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42C3F"/>
    <w:rPr>
      <w:sz w:val="20"/>
      <w:szCs w:val="20"/>
    </w:rPr>
  </w:style>
  <w:style w:type="character" w:styleId="Odwoanieprzypisukocowego">
    <w:name w:val="endnote reference"/>
    <w:basedOn w:val="Domylnaczcionkaakapitu"/>
    <w:uiPriority w:val="99"/>
    <w:semiHidden/>
    <w:unhideWhenUsed/>
    <w:rsid w:val="00B42C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961418921">
      <w:bodyDiv w:val="1"/>
      <w:marLeft w:val="0"/>
      <w:marRight w:val="0"/>
      <w:marTop w:val="0"/>
      <w:marBottom w:val="0"/>
      <w:divBdr>
        <w:top w:val="none" w:sz="0" w:space="0" w:color="auto"/>
        <w:left w:val="none" w:sz="0" w:space="0" w:color="auto"/>
        <w:bottom w:val="none" w:sz="0" w:space="0" w:color="auto"/>
        <w:right w:val="none" w:sz="0" w:space="0" w:color="auto"/>
      </w:divBdr>
    </w:div>
    <w:div w:id="1169100574">
      <w:bodyDiv w:val="1"/>
      <w:marLeft w:val="0"/>
      <w:marRight w:val="0"/>
      <w:marTop w:val="0"/>
      <w:marBottom w:val="0"/>
      <w:divBdr>
        <w:top w:val="none" w:sz="0" w:space="0" w:color="auto"/>
        <w:left w:val="none" w:sz="0" w:space="0" w:color="auto"/>
        <w:bottom w:val="none" w:sz="0" w:space="0" w:color="auto"/>
        <w:right w:val="none" w:sz="0" w:space="0" w:color="auto"/>
      </w:divBdr>
      <w:divsChild>
        <w:div w:id="1860003769">
          <w:marLeft w:val="0"/>
          <w:marRight w:val="0"/>
          <w:marTop w:val="0"/>
          <w:marBottom w:val="0"/>
          <w:divBdr>
            <w:top w:val="none" w:sz="0" w:space="0" w:color="auto"/>
            <w:left w:val="none" w:sz="0" w:space="0" w:color="auto"/>
            <w:bottom w:val="none" w:sz="0" w:space="0" w:color="auto"/>
            <w:right w:val="none" w:sz="0" w:space="0" w:color="auto"/>
          </w:divBdr>
        </w:div>
      </w:divsChild>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80EC9-EEE3-46F1-89B2-7AA4B780C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7</Pages>
  <Words>3096</Words>
  <Characters>18580</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Lukasz Kaniuka</dc:creator>
  <cp:lastModifiedBy>Okułowicz Eliza</cp:lastModifiedBy>
  <cp:revision>10</cp:revision>
  <cp:lastPrinted>2024-02-12T09:18:00Z</cp:lastPrinted>
  <dcterms:created xsi:type="dcterms:W3CDTF">2024-07-06T14:41:00Z</dcterms:created>
  <dcterms:modified xsi:type="dcterms:W3CDTF">2025-01-28T10:21:00Z</dcterms:modified>
</cp:coreProperties>
</file>